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30" w:rsidRPr="00AC4839" w:rsidRDefault="00FE7630" w:rsidP="00223D70">
      <w:pPr>
        <w:suppressAutoHyphens/>
        <w:jc w:val="center"/>
        <w:rPr>
          <w:rFonts w:ascii="Arial Narrow" w:hAnsi="Arial Narrow" w:cs="Tahoma"/>
          <w:b/>
          <w:spacing w:val="-3"/>
          <w:sz w:val="24"/>
          <w:szCs w:val="24"/>
          <w:lang w:val="ro-RO"/>
        </w:rPr>
      </w:pPr>
    </w:p>
    <w:p w:rsidR="00491CE7" w:rsidRDefault="00491CE7" w:rsidP="00491CE7">
      <w:pPr>
        <w:suppressAutoHyphens/>
        <w:rPr>
          <w:spacing w:val="-3"/>
          <w:sz w:val="18"/>
          <w:szCs w:val="18"/>
          <w:u w:val="single"/>
          <w:lang w:val="en-US"/>
        </w:rPr>
      </w:pPr>
    </w:p>
    <w:p w:rsidR="008A5622" w:rsidRDefault="008A5622" w:rsidP="00491CE7">
      <w:pPr>
        <w:suppressAutoHyphens/>
        <w:rPr>
          <w:spacing w:val="-3"/>
          <w:sz w:val="18"/>
          <w:szCs w:val="18"/>
          <w:u w:val="single"/>
          <w:lang w:val="en-US"/>
        </w:rPr>
      </w:pPr>
    </w:p>
    <w:p w:rsidR="00CF019B" w:rsidRPr="00CF019B" w:rsidRDefault="006855D3" w:rsidP="00CF019B">
      <w:pPr>
        <w:suppressAutoHyphens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Raport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privire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locurile</w:t>
      </w:r>
      <w:proofErr w:type="spellEnd"/>
      <w:r w:rsidR="00CF019B" w:rsidRPr="00CF019B"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tranzactionare</w:t>
      </w:r>
      <w:proofErr w:type="spellEnd"/>
      <w:r w:rsidR="00CF019B" w:rsidRPr="00CF019B">
        <w:rPr>
          <w:b/>
          <w:sz w:val="24"/>
          <w:szCs w:val="24"/>
        </w:rPr>
        <w:t xml:space="preserve"> </w:t>
      </w:r>
      <w:proofErr w:type="spellStart"/>
      <w:r w:rsidR="00CF019B" w:rsidRPr="00CF019B">
        <w:rPr>
          <w:b/>
          <w:sz w:val="24"/>
          <w:szCs w:val="24"/>
        </w:rPr>
        <w:t>si</w:t>
      </w:r>
      <w:proofErr w:type="spellEnd"/>
      <w:r w:rsidR="00CF019B" w:rsidRPr="00CF019B">
        <w:rPr>
          <w:b/>
          <w:sz w:val="24"/>
          <w:szCs w:val="24"/>
        </w:rPr>
        <w:t xml:space="preserve"> la </w:t>
      </w:r>
      <w:proofErr w:type="spellStart"/>
      <w:r w:rsidR="00CF019B" w:rsidRPr="00CF019B">
        <w:rPr>
          <w:b/>
          <w:sz w:val="24"/>
          <w:szCs w:val="24"/>
        </w:rPr>
        <w:t>calitatea</w:t>
      </w:r>
      <w:proofErr w:type="spellEnd"/>
      <w:r w:rsidR="00CF019B" w:rsidRPr="00CF019B">
        <w:rPr>
          <w:b/>
          <w:sz w:val="24"/>
          <w:szCs w:val="24"/>
        </w:rPr>
        <w:t xml:space="preserve"> </w:t>
      </w:r>
      <w:proofErr w:type="spellStart"/>
      <w:r w:rsidR="00CF019B" w:rsidRPr="00CF019B">
        <w:rPr>
          <w:b/>
          <w:sz w:val="24"/>
          <w:szCs w:val="24"/>
        </w:rPr>
        <w:t>executiei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perioada</w:t>
      </w:r>
      <w:proofErr w:type="spellEnd"/>
    </w:p>
    <w:p w:rsidR="00CF019B" w:rsidRPr="00CF019B" w:rsidRDefault="00CF019B" w:rsidP="00CF019B">
      <w:pPr>
        <w:suppressAutoHyphens/>
        <w:jc w:val="center"/>
        <w:rPr>
          <w:b/>
          <w:sz w:val="24"/>
          <w:szCs w:val="24"/>
        </w:rPr>
      </w:pPr>
      <w:r w:rsidRPr="00CF019B">
        <w:rPr>
          <w:b/>
          <w:sz w:val="24"/>
          <w:szCs w:val="24"/>
        </w:rPr>
        <w:t xml:space="preserve">1 </w:t>
      </w:r>
      <w:proofErr w:type="spellStart"/>
      <w:r w:rsidRPr="00CF019B">
        <w:rPr>
          <w:b/>
          <w:sz w:val="24"/>
          <w:szCs w:val="24"/>
        </w:rPr>
        <w:t>Ianuarie</w:t>
      </w:r>
      <w:proofErr w:type="spellEnd"/>
      <w:r w:rsidRPr="00CF019B">
        <w:rPr>
          <w:b/>
          <w:sz w:val="24"/>
          <w:szCs w:val="24"/>
        </w:rPr>
        <w:t xml:space="preserve"> 202</w:t>
      </w:r>
      <w:r w:rsidR="00FE6B06">
        <w:rPr>
          <w:b/>
          <w:sz w:val="24"/>
          <w:szCs w:val="24"/>
        </w:rPr>
        <w:t>2</w:t>
      </w:r>
      <w:r w:rsidRPr="00CF019B">
        <w:rPr>
          <w:b/>
          <w:sz w:val="24"/>
          <w:szCs w:val="24"/>
        </w:rPr>
        <w:t xml:space="preserve"> – 31 </w:t>
      </w:r>
      <w:proofErr w:type="spellStart"/>
      <w:r w:rsidRPr="00CF019B">
        <w:rPr>
          <w:b/>
          <w:sz w:val="24"/>
          <w:szCs w:val="24"/>
        </w:rPr>
        <w:t>Decembrie</w:t>
      </w:r>
      <w:proofErr w:type="spellEnd"/>
      <w:r w:rsidRPr="00CF019B">
        <w:rPr>
          <w:b/>
          <w:sz w:val="24"/>
          <w:szCs w:val="24"/>
        </w:rPr>
        <w:t xml:space="preserve"> 202</w:t>
      </w:r>
      <w:r w:rsidR="00FE6B06">
        <w:rPr>
          <w:b/>
          <w:sz w:val="24"/>
          <w:szCs w:val="24"/>
        </w:rPr>
        <w:t>2</w:t>
      </w:r>
    </w:p>
    <w:p w:rsidR="00CF019B" w:rsidRPr="00CF019B" w:rsidRDefault="00CF019B" w:rsidP="00CF019B">
      <w:pPr>
        <w:suppressAutoHyphens/>
        <w:jc w:val="center"/>
        <w:rPr>
          <w:b/>
          <w:sz w:val="24"/>
          <w:szCs w:val="24"/>
        </w:rPr>
      </w:pPr>
    </w:p>
    <w:p w:rsidR="00CF019B" w:rsidRPr="00CF019B" w:rsidRDefault="00CF019B" w:rsidP="00CF019B">
      <w:pPr>
        <w:suppressAutoHyphens/>
        <w:jc w:val="both"/>
        <w:rPr>
          <w:sz w:val="24"/>
          <w:szCs w:val="24"/>
        </w:rPr>
      </w:pPr>
    </w:p>
    <w:p w:rsidR="006855D3" w:rsidRPr="006855D3" w:rsidRDefault="00CF019B" w:rsidP="00CF019B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CF019B">
        <w:rPr>
          <w:sz w:val="24"/>
          <w:szCs w:val="24"/>
        </w:rPr>
        <w:t xml:space="preserve">    </w:t>
      </w:r>
      <w:r w:rsidR="0015330B">
        <w:rPr>
          <w:sz w:val="24"/>
          <w:szCs w:val="24"/>
        </w:rPr>
        <w:t>I</w:t>
      </w:r>
      <w:r w:rsidRPr="00CF019B">
        <w:rPr>
          <w:sz w:val="24"/>
          <w:szCs w:val="24"/>
        </w:rPr>
        <w:t xml:space="preserve">    </w:t>
      </w:r>
      <w:proofErr w:type="spellStart"/>
      <w:r w:rsidR="001A736C">
        <w:rPr>
          <w:b/>
          <w:sz w:val="24"/>
          <w:szCs w:val="24"/>
        </w:rPr>
        <w:t>Temeiul</w:t>
      </w:r>
      <w:proofErr w:type="spellEnd"/>
      <w:r w:rsidR="001A736C">
        <w:rPr>
          <w:b/>
          <w:sz w:val="24"/>
          <w:szCs w:val="24"/>
        </w:rPr>
        <w:t xml:space="preserve"> legal</w:t>
      </w:r>
      <w:r w:rsidRPr="006855D3">
        <w:rPr>
          <w:b/>
          <w:sz w:val="24"/>
          <w:szCs w:val="24"/>
        </w:rPr>
        <w:t xml:space="preserve">                  </w:t>
      </w:r>
    </w:p>
    <w:p w:rsidR="00CF019B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019B" w:rsidRPr="00CF019B">
        <w:rPr>
          <w:sz w:val="24"/>
          <w:szCs w:val="24"/>
        </w:rPr>
        <w:t xml:space="preserve">    </w:t>
      </w:r>
      <w:proofErr w:type="gramStart"/>
      <w:r w:rsidR="00CF019B" w:rsidRPr="00CF019B">
        <w:rPr>
          <w:sz w:val="24"/>
          <w:szCs w:val="24"/>
        </w:rPr>
        <w:t xml:space="preserve">SSIF Bursa </w:t>
      </w:r>
      <w:proofErr w:type="spellStart"/>
      <w:r w:rsidR="00CF019B" w:rsidRPr="00CF019B">
        <w:rPr>
          <w:sz w:val="24"/>
          <w:szCs w:val="24"/>
        </w:rPr>
        <w:t>Romana</w:t>
      </w:r>
      <w:proofErr w:type="spellEnd"/>
      <w:r w:rsidR="00CF019B" w:rsidRPr="00CF019B">
        <w:rPr>
          <w:sz w:val="24"/>
          <w:szCs w:val="24"/>
        </w:rPr>
        <w:t xml:space="preserve"> de </w:t>
      </w:r>
      <w:proofErr w:type="spellStart"/>
      <w:r w:rsidR="00CF019B" w:rsidRPr="00CF019B">
        <w:rPr>
          <w:sz w:val="24"/>
          <w:szCs w:val="24"/>
        </w:rPr>
        <w:t>Bucuresti</w:t>
      </w:r>
      <w:proofErr w:type="spellEnd"/>
      <w:r w:rsidR="00CF019B" w:rsidRPr="00CF019B">
        <w:rPr>
          <w:sz w:val="24"/>
          <w:szCs w:val="24"/>
        </w:rPr>
        <w:t xml:space="preserve"> SA </w:t>
      </w:r>
      <w:proofErr w:type="spellStart"/>
      <w:r w:rsidR="00CF019B" w:rsidRPr="00CF019B">
        <w:rPr>
          <w:sz w:val="24"/>
          <w:szCs w:val="24"/>
        </w:rPr>
        <w:t>intocmeste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prezentul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raport</w:t>
      </w:r>
      <w:proofErr w:type="spellEnd"/>
      <w:r w:rsidR="00CF019B" w:rsidRPr="00CF019B">
        <w:rPr>
          <w:sz w:val="24"/>
          <w:szCs w:val="24"/>
        </w:rPr>
        <w:t xml:space="preserve"> in </w:t>
      </w:r>
      <w:proofErr w:type="spellStart"/>
      <w:r w:rsidR="00CF019B" w:rsidRPr="00CF019B">
        <w:rPr>
          <w:sz w:val="24"/>
          <w:szCs w:val="24"/>
        </w:rPr>
        <w:t>baza</w:t>
      </w:r>
      <w:proofErr w:type="spellEnd"/>
      <w:r w:rsidR="00CF019B" w:rsidRPr="00CF019B">
        <w:rPr>
          <w:sz w:val="24"/>
          <w:szCs w:val="24"/>
        </w:rPr>
        <w:t xml:space="preserve"> art.</w:t>
      </w:r>
      <w:proofErr w:type="gramEnd"/>
      <w:r w:rsidR="00CF019B" w:rsidRPr="00CF019B">
        <w:rPr>
          <w:sz w:val="24"/>
          <w:szCs w:val="24"/>
        </w:rPr>
        <w:t xml:space="preserve"> </w:t>
      </w:r>
      <w:proofErr w:type="gramStart"/>
      <w:r w:rsidR="00CF019B" w:rsidRPr="00CF019B">
        <w:rPr>
          <w:sz w:val="24"/>
          <w:szCs w:val="24"/>
        </w:rPr>
        <w:t xml:space="preserve">94 </w:t>
      </w:r>
      <w:proofErr w:type="spellStart"/>
      <w:r w:rsidR="00CF019B" w:rsidRPr="00CF019B">
        <w:rPr>
          <w:sz w:val="24"/>
          <w:szCs w:val="24"/>
        </w:rPr>
        <w:t>alin</w:t>
      </w:r>
      <w:proofErr w:type="spellEnd"/>
      <w:r w:rsidR="00CF019B" w:rsidRPr="00CF019B">
        <w:rPr>
          <w:sz w:val="24"/>
          <w:szCs w:val="24"/>
        </w:rPr>
        <w:t>.</w:t>
      </w:r>
      <w:proofErr w:type="gramEnd"/>
      <w:r w:rsidR="00CF019B" w:rsidRPr="00CF019B">
        <w:rPr>
          <w:sz w:val="24"/>
          <w:szCs w:val="24"/>
        </w:rPr>
        <w:t xml:space="preserve"> (1) din </w:t>
      </w:r>
      <w:proofErr w:type="spellStart"/>
      <w:r w:rsidR="00CF019B" w:rsidRPr="00CF019B">
        <w:rPr>
          <w:sz w:val="24"/>
          <w:szCs w:val="24"/>
        </w:rPr>
        <w:t>Legea</w:t>
      </w:r>
      <w:proofErr w:type="spellEnd"/>
      <w:r w:rsidR="00CF019B" w:rsidRPr="00CF019B">
        <w:rPr>
          <w:sz w:val="24"/>
          <w:szCs w:val="24"/>
        </w:rPr>
        <w:t xml:space="preserve"> nr. 126/2018, a </w:t>
      </w:r>
      <w:proofErr w:type="spellStart"/>
      <w:r w:rsidR="00CF019B" w:rsidRPr="00CF019B">
        <w:rPr>
          <w:sz w:val="24"/>
          <w:szCs w:val="24"/>
        </w:rPr>
        <w:t>Regulamentului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Delegat</w:t>
      </w:r>
      <w:proofErr w:type="spellEnd"/>
      <w:r w:rsidR="00CF019B" w:rsidRPr="00CF019B">
        <w:rPr>
          <w:sz w:val="24"/>
          <w:szCs w:val="24"/>
        </w:rPr>
        <w:t xml:space="preserve"> (UE) 2017/576 </w:t>
      </w:r>
      <w:proofErr w:type="spellStart"/>
      <w:r w:rsidR="00CF019B" w:rsidRPr="00CF019B">
        <w:rPr>
          <w:sz w:val="24"/>
          <w:szCs w:val="24"/>
        </w:rPr>
        <w:t>si</w:t>
      </w:r>
      <w:proofErr w:type="spellEnd"/>
      <w:r w:rsidR="00CF019B" w:rsidRPr="00CF019B">
        <w:rPr>
          <w:sz w:val="24"/>
          <w:szCs w:val="24"/>
        </w:rPr>
        <w:t xml:space="preserve"> a </w:t>
      </w:r>
      <w:proofErr w:type="spellStart"/>
      <w:r w:rsidR="00CF019B" w:rsidRPr="00CF019B">
        <w:rPr>
          <w:sz w:val="24"/>
          <w:szCs w:val="24"/>
        </w:rPr>
        <w:t>Regulamentului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Delegat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MiFID</w:t>
      </w:r>
      <w:proofErr w:type="spellEnd"/>
      <w:r w:rsidR="00CF019B" w:rsidRPr="00CF019B">
        <w:rPr>
          <w:sz w:val="24"/>
          <w:szCs w:val="24"/>
        </w:rPr>
        <w:t xml:space="preserve"> II (Reg. UE 565/2017), </w:t>
      </w:r>
      <w:proofErr w:type="spellStart"/>
      <w:r w:rsidR="00E801CF">
        <w:rPr>
          <w:sz w:val="24"/>
          <w:szCs w:val="24"/>
        </w:rPr>
        <w:t>ilustrand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informatii</w:t>
      </w:r>
      <w:proofErr w:type="spellEnd"/>
      <w:r w:rsidR="00CF019B" w:rsidRPr="00CF019B">
        <w:rPr>
          <w:sz w:val="24"/>
          <w:szCs w:val="24"/>
        </w:rPr>
        <w:t xml:space="preserve"> in </w:t>
      </w:r>
      <w:proofErr w:type="spellStart"/>
      <w:r w:rsidR="00CF019B" w:rsidRPr="00CF019B">
        <w:rPr>
          <w:sz w:val="24"/>
          <w:szCs w:val="24"/>
        </w:rPr>
        <w:t>legatura</w:t>
      </w:r>
      <w:proofErr w:type="spellEnd"/>
      <w:r w:rsidR="00CF019B" w:rsidRPr="00CF019B">
        <w:rPr>
          <w:sz w:val="24"/>
          <w:szCs w:val="24"/>
        </w:rPr>
        <w:t xml:space="preserve"> cu </w:t>
      </w:r>
      <w:proofErr w:type="spellStart"/>
      <w:r w:rsidR="00CF019B" w:rsidRPr="00CF019B">
        <w:rPr>
          <w:sz w:val="24"/>
          <w:szCs w:val="24"/>
        </w:rPr>
        <w:t>principalele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locuri</w:t>
      </w:r>
      <w:proofErr w:type="spellEnd"/>
      <w:r w:rsidR="00CF019B" w:rsidRPr="00CF019B">
        <w:rPr>
          <w:sz w:val="24"/>
          <w:szCs w:val="24"/>
        </w:rPr>
        <w:t xml:space="preserve"> de </w:t>
      </w:r>
      <w:proofErr w:type="spellStart"/>
      <w:r w:rsidR="00CF019B" w:rsidRPr="00CF019B">
        <w:rPr>
          <w:sz w:val="24"/>
          <w:szCs w:val="24"/>
        </w:rPr>
        <w:t>tranzactionare</w:t>
      </w:r>
      <w:proofErr w:type="spellEnd"/>
      <w:r w:rsidR="00CF019B" w:rsidRPr="00CF019B">
        <w:rPr>
          <w:sz w:val="24"/>
          <w:szCs w:val="24"/>
        </w:rPr>
        <w:t xml:space="preserve"> din </w:t>
      </w:r>
      <w:proofErr w:type="spellStart"/>
      <w:r w:rsidR="00CF019B" w:rsidRPr="00CF019B">
        <w:rPr>
          <w:sz w:val="24"/>
          <w:szCs w:val="24"/>
        </w:rPr>
        <w:t>punct</w:t>
      </w:r>
      <w:proofErr w:type="spellEnd"/>
      <w:r w:rsidR="00CF019B" w:rsidRPr="00CF019B">
        <w:rPr>
          <w:sz w:val="24"/>
          <w:szCs w:val="24"/>
        </w:rPr>
        <w:t xml:space="preserve"> de </w:t>
      </w:r>
      <w:proofErr w:type="spellStart"/>
      <w:r w:rsidR="00CF019B" w:rsidRPr="00CF019B">
        <w:rPr>
          <w:sz w:val="24"/>
          <w:szCs w:val="24"/>
        </w:rPr>
        <w:t>vedere</w:t>
      </w:r>
      <w:proofErr w:type="spellEnd"/>
      <w:r w:rsidR="00CF019B" w:rsidRPr="00CF019B">
        <w:rPr>
          <w:sz w:val="24"/>
          <w:szCs w:val="24"/>
        </w:rPr>
        <w:t xml:space="preserve"> al </w:t>
      </w:r>
      <w:proofErr w:type="spellStart"/>
      <w:r w:rsidR="00CF019B" w:rsidRPr="00CF019B">
        <w:rPr>
          <w:sz w:val="24"/>
          <w:szCs w:val="24"/>
        </w:rPr>
        <w:t>volumelor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tranzactionate</w:t>
      </w:r>
      <w:proofErr w:type="spellEnd"/>
      <w:r w:rsidR="00CF019B" w:rsidRPr="00CF019B">
        <w:rPr>
          <w:sz w:val="24"/>
          <w:szCs w:val="24"/>
        </w:rPr>
        <w:t xml:space="preserve"> </w:t>
      </w:r>
      <w:r w:rsidR="001A736C">
        <w:rPr>
          <w:sz w:val="24"/>
          <w:szCs w:val="24"/>
        </w:rPr>
        <w:t xml:space="preserve"> </w:t>
      </w:r>
      <w:proofErr w:type="spellStart"/>
      <w:r w:rsidR="001A736C">
        <w:rPr>
          <w:sz w:val="24"/>
          <w:szCs w:val="24"/>
        </w:rPr>
        <w:t>pe</w:t>
      </w:r>
      <w:proofErr w:type="spellEnd"/>
      <w:r w:rsidR="001A736C">
        <w:rPr>
          <w:sz w:val="24"/>
          <w:szCs w:val="24"/>
        </w:rPr>
        <w:t xml:space="preserve"> </w:t>
      </w:r>
      <w:proofErr w:type="spellStart"/>
      <w:r w:rsidR="001A736C">
        <w:rPr>
          <w:sz w:val="24"/>
          <w:szCs w:val="24"/>
        </w:rPr>
        <w:t>parcursul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anului</w:t>
      </w:r>
      <w:proofErr w:type="spellEnd"/>
      <w:r w:rsidR="001A736C">
        <w:rPr>
          <w:sz w:val="24"/>
          <w:szCs w:val="24"/>
        </w:rPr>
        <w:t xml:space="preserve"> </w:t>
      </w:r>
      <w:proofErr w:type="spellStart"/>
      <w:r w:rsidR="001A736C">
        <w:rPr>
          <w:sz w:val="24"/>
          <w:szCs w:val="24"/>
        </w:rPr>
        <w:t>financiar</w:t>
      </w:r>
      <w:proofErr w:type="spellEnd"/>
      <w:r w:rsidR="00CF019B" w:rsidRPr="00CF019B">
        <w:rPr>
          <w:sz w:val="24"/>
          <w:szCs w:val="24"/>
        </w:rPr>
        <w:t xml:space="preserve"> 202</w:t>
      </w:r>
      <w:r w:rsidR="000E41B8">
        <w:rPr>
          <w:sz w:val="24"/>
          <w:szCs w:val="24"/>
        </w:rPr>
        <w:t>2</w:t>
      </w:r>
      <w:r w:rsidR="00CF019B" w:rsidRPr="00CF019B">
        <w:rPr>
          <w:sz w:val="24"/>
          <w:szCs w:val="24"/>
        </w:rPr>
        <w:t xml:space="preserve">. </w:t>
      </w:r>
    </w:p>
    <w:p w:rsidR="006855D3" w:rsidRDefault="006855D3" w:rsidP="00CF019B">
      <w:pPr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15330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 </w:t>
      </w:r>
      <w:proofErr w:type="spellStart"/>
      <w:r w:rsidRPr="006855D3">
        <w:rPr>
          <w:b/>
          <w:sz w:val="24"/>
          <w:szCs w:val="24"/>
        </w:rPr>
        <w:t>S</w:t>
      </w:r>
      <w:r w:rsidR="001A736C">
        <w:rPr>
          <w:b/>
          <w:sz w:val="24"/>
          <w:szCs w:val="24"/>
        </w:rPr>
        <w:t>copul</w:t>
      </w:r>
      <w:proofErr w:type="spellEnd"/>
      <w:proofErr w:type="gramEnd"/>
      <w:r w:rsidR="001A736C">
        <w:rPr>
          <w:b/>
          <w:sz w:val="24"/>
          <w:szCs w:val="24"/>
        </w:rPr>
        <w:t xml:space="preserve"> </w:t>
      </w:r>
      <w:proofErr w:type="spellStart"/>
      <w:r w:rsidR="001A736C">
        <w:rPr>
          <w:b/>
          <w:sz w:val="24"/>
          <w:szCs w:val="24"/>
        </w:rPr>
        <w:t>raportarii</w:t>
      </w:r>
      <w:proofErr w:type="spellEnd"/>
    </w:p>
    <w:p w:rsidR="001A736C" w:rsidRPr="001A736C" w:rsidRDefault="001A736C" w:rsidP="00CF019B">
      <w:pPr>
        <w:suppressAutoHyphens/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1A736C">
        <w:rPr>
          <w:sz w:val="24"/>
          <w:szCs w:val="24"/>
        </w:rPr>
        <w:t>Prezentarea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celor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mai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importante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cinci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locuri</w:t>
      </w:r>
      <w:proofErr w:type="spellEnd"/>
      <w:r w:rsidRPr="001A736C">
        <w:rPr>
          <w:sz w:val="24"/>
          <w:szCs w:val="24"/>
        </w:rPr>
        <w:t xml:space="preserve"> de </w:t>
      </w:r>
      <w:proofErr w:type="spellStart"/>
      <w:r w:rsidRPr="001A736C">
        <w:rPr>
          <w:sz w:val="24"/>
          <w:szCs w:val="24"/>
        </w:rPr>
        <w:t>executare</w:t>
      </w:r>
      <w:proofErr w:type="spellEnd"/>
      <w:r w:rsidRPr="001A736C">
        <w:rPr>
          <w:sz w:val="24"/>
          <w:szCs w:val="24"/>
        </w:rPr>
        <w:t xml:space="preserve"> din </w:t>
      </w:r>
      <w:proofErr w:type="spellStart"/>
      <w:r w:rsidRPr="001A736C">
        <w:rPr>
          <w:sz w:val="24"/>
          <w:szCs w:val="24"/>
        </w:rPr>
        <w:t>punct</w:t>
      </w:r>
      <w:proofErr w:type="spellEnd"/>
      <w:r w:rsidRPr="001A736C">
        <w:rPr>
          <w:sz w:val="24"/>
          <w:szCs w:val="24"/>
        </w:rPr>
        <w:t xml:space="preserve"> de </w:t>
      </w:r>
      <w:proofErr w:type="spellStart"/>
      <w:r w:rsidRPr="001A736C">
        <w:rPr>
          <w:sz w:val="24"/>
          <w:szCs w:val="24"/>
        </w:rPr>
        <w:t>vedere</w:t>
      </w:r>
      <w:proofErr w:type="spellEnd"/>
      <w:r w:rsidRPr="001A736C">
        <w:rPr>
          <w:sz w:val="24"/>
          <w:szCs w:val="24"/>
        </w:rPr>
        <w:t xml:space="preserve"> al </w:t>
      </w:r>
      <w:proofErr w:type="spellStart"/>
      <w:r w:rsidRPr="001A736C">
        <w:rPr>
          <w:sz w:val="24"/>
          <w:szCs w:val="24"/>
        </w:rPr>
        <w:t>volumului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tranzacționat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și</w:t>
      </w:r>
      <w:proofErr w:type="spellEnd"/>
      <w:r w:rsidRPr="001A736C">
        <w:rPr>
          <w:sz w:val="24"/>
          <w:szCs w:val="24"/>
        </w:rPr>
        <w:t xml:space="preserve"> al </w:t>
      </w:r>
      <w:proofErr w:type="spellStart"/>
      <w:r w:rsidRPr="001A736C">
        <w:rPr>
          <w:sz w:val="24"/>
          <w:szCs w:val="24"/>
        </w:rPr>
        <w:t>ordinelor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executate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pentru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clienți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pentru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fiecare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clasă</w:t>
      </w:r>
      <w:proofErr w:type="spellEnd"/>
      <w:r w:rsidRPr="001A736C">
        <w:rPr>
          <w:sz w:val="24"/>
          <w:szCs w:val="24"/>
        </w:rPr>
        <w:t xml:space="preserve"> de </w:t>
      </w:r>
      <w:proofErr w:type="spellStart"/>
      <w:r w:rsidRPr="001A736C">
        <w:rPr>
          <w:sz w:val="24"/>
          <w:szCs w:val="24"/>
        </w:rPr>
        <w:t>instrumente</w:t>
      </w:r>
      <w:proofErr w:type="spellEnd"/>
      <w:r w:rsidRPr="001A736C">
        <w:rPr>
          <w:sz w:val="24"/>
          <w:szCs w:val="24"/>
        </w:rPr>
        <w:t xml:space="preserve"> </w:t>
      </w:r>
      <w:proofErr w:type="spellStart"/>
      <w:r w:rsidRPr="001A736C">
        <w:rPr>
          <w:sz w:val="24"/>
          <w:szCs w:val="24"/>
        </w:rPr>
        <w:t>financiare</w:t>
      </w:r>
      <w:proofErr w:type="spellEnd"/>
      <w:r w:rsidR="00E801CF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</w:t>
      </w:r>
      <w:r w:rsidR="00E801CF">
        <w:rPr>
          <w:sz w:val="24"/>
          <w:szCs w:val="24"/>
        </w:rPr>
        <w:t>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cerintele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>.</w:t>
      </w:r>
      <w:proofErr w:type="gramEnd"/>
    </w:p>
    <w:p w:rsidR="00CF019B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CF019B" w:rsidRDefault="005C57BA" w:rsidP="00CF019B">
      <w:pPr>
        <w:suppressAutoHyphens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Totodata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CF019B" w:rsidRPr="00CF019B">
        <w:rPr>
          <w:sz w:val="24"/>
          <w:szCs w:val="24"/>
        </w:rPr>
        <w:t>aportul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evidentiaza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locurile</w:t>
      </w:r>
      <w:proofErr w:type="spellEnd"/>
      <w:r w:rsidR="00CF019B" w:rsidRPr="00CF019B">
        <w:rPr>
          <w:sz w:val="24"/>
          <w:szCs w:val="24"/>
        </w:rPr>
        <w:t xml:space="preserve"> de </w:t>
      </w:r>
      <w:proofErr w:type="spellStart"/>
      <w:r w:rsidR="00CF019B" w:rsidRPr="00CF019B">
        <w:rPr>
          <w:sz w:val="24"/>
          <w:szCs w:val="24"/>
        </w:rPr>
        <w:t>executare</w:t>
      </w:r>
      <w:proofErr w:type="spellEnd"/>
      <w:r w:rsidR="00CF019B" w:rsidRPr="00CF019B">
        <w:rPr>
          <w:sz w:val="24"/>
          <w:szCs w:val="24"/>
        </w:rPr>
        <w:t xml:space="preserve"> </w:t>
      </w:r>
      <w:proofErr w:type="spellStart"/>
      <w:proofErr w:type="gramStart"/>
      <w:r w:rsidR="00CF019B" w:rsidRPr="00CF019B">
        <w:rPr>
          <w:sz w:val="24"/>
          <w:szCs w:val="24"/>
        </w:rPr>
        <w:t>utilizate</w:t>
      </w:r>
      <w:proofErr w:type="spellEnd"/>
      <w:r w:rsidR="00CF019B" w:rsidRPr="00CF019B">
        <w:rPr>
          <w:sz w:val="24"/>
          <w:szCs w:val="24"/>
        </w:rPr>
        <w:t xml:space="preserve"> </w:t>
      </w:r>
      <w:r w:rsidR="001A73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CF019B" w:rsidRPr="00CF019B">
        <w:rPr>
          <w:sz w:val="24"/>
          <w:szCs w:val="24"/>
        </w:rPr>
        <w:t>pentr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clientilor</w:t>
      </w:r>
      <w:proofErr w:type="spellEnd"/>
      <w:r>
        <w:rPr>
          <w:sz w:val="24"/>
          <w:szCs w:val="24"/>
        </w:rPr>
        <w:t xml:space="preserve"> de retail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 w:rsidR="00CF019B" w:rsidRPr="00CF019B">
        <w:rPr>
          <w:sz w:val="24"/>
          <w:szCs w:val="24"/>
        </w:rPr>
        <w:t xml:space="preserve"> </w:t>
      </w:r>
      <w:proofErr w:type="spellStart"/>
      <w:r w:rsidRPr="00CF019B">
        <w:rPr>
          <w:sz w:val="24"/>
          <w:szCs w:val="24"/>
        </w:rPr>
        <w:t>pentru</w:t>
      </w:r>
      <w:proofErr w:type="spellEnd"/>
      <w:r w:rsidRPr="00CF019B">
        <w:rPr>
          <w:sz w:val="24"/>
          <w:szCs w:val="24"/>
        </w:rPr>
        <w:t xml:space="preserve"> </w:t>
      </w:r>
      <w:proofErr w:type="spellStart"/>
      <w:r w:rsidRPr="00CF019B">
        <w:rPr>
          <w:sz w:val="24"/>
          <w:szCs w:val="24"/>
        </w:rPr>
        <w:t>ordinele</w:t>
      </w:r>
      <w:proofErr w:type="spellEnd"/>
      <w:r w:rsidRPr="00CF019B">
        <w:rPr>
          <w:sz w:val="24"/>
          <w:szCs w:val="24"/>
        </w:rPr>
        <w:t xml:space="preserve"> </w:t>
      </w:r>
      <w:proofErr w:type="spellStart"/>
      <w:r w:rsidRPr="00CF019B">
        <w:rPr>
          <w:sz w:val="24"/>
          <w:szCs w:val="24"/>
        </w:rPr>
        <w:t>clientilor</w:t>
      </w:r>
      <w:proofErr w:type="spellEnd"/>
      <w:r w:rsidRPr="00CF019B">
        <w:rPr>
          <w:sz w:val="24"/>
          <w:szCs w:val="24"/>
        </w:rPr>
        <w:t xml:space="preserve"> </w:t>
      </w:r>
      <w:proofErr w:type="spellStart"/>
      <w:r w:rsidRPr="00CF019B">
        <w:rPr>
          <w:sz w:val="24"/>
          <w:szCs w:val="24"/>
        </w:rPr>
        <w:t>profesionali</w:t>
      </w:r>
      <w:proofErr w:type="spellEnd"/>
    </w:p>
    <w:p w:rsidR="0015330B" w:rsidRDefault="0015330B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8A5622" w:rsidRPr="0015330B" w:rsidRDefault="0015330B" w:rsidP="00CF019B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1533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III</w:t>
      </w:r>
      <w:r w:rsidRPr="0015330B">
        <w:rPr>
          <w:b/>
          <w:sz w:val="24"/>
          <w:szCs w:val="24"/>
        </w:rPr>
        <w:t xml:space="preserve">       </w:t>
      </w:r>
      <w:proofErr w:type="spellStart"/>
      <w:r w:rsidRPr="0015330B">
        <w:rPr>
          <w:b/>
          <w:sz w:val="24"/>
          <w:szCs w:val="24"/>
        </w:rPr>
        <w:t>I</w:t>
      </w:r>
      <w:r w:rsidR="00CF019B" w:rsidRPr="0015330B">
        <w:rPr>
          <w:b/>
          <w:sz w:val="24"/>
          <w:szCs w:val="24"/>
        </w:rPr>
        <w:t>nformatii</w:t>
      </w:r>
      <w:proofErr w:type="spellEnd"/>
      <w:r w:rsidR="00CF019B" w:rsidRPr="0015330B">
        <w:rPr>
          <w:b/>
          <w:sz w:val="24"/>
          <w:szCs w:val="24"/>
        </w:rPr>
        <w:t xml:space="preserve"> in </w:t>
      </w:r>
      <w:proofErr w:type="spellStart"/>
      <w:r w:rsidR="00CF019B" w:rsidRPr="0015330B">
        <w:rPr>
          <w:b/>
          <w:sz w:val="24"/>
          <w:szCs w:val="24"/>
        </w:rPr>
        <w:t>legatura</w:t>
      </w:r>
      <w:proofErr w:type="spellEnd"/>
      <w:r w:rsidR="00CF019B" w:rsidRPr="0015330B">
        <w:rPr>
          <w:b/>
          <w:sz w:val="24"/>
          <w:szCs w:val="24"/>
        </w:rPr>
        <w:t xml:space="preserve"> cu </w:t>
      </w:r>
      <w:proofErr w:type="spellStart"/>
      <w:r w:rsidR="00CF019B" w:rsidRPr="0015330B">
        <w:rPr>
          <w:b/>
          <w:sz w:val="24"/>
          <w:szCs w:val="24"/>
        </w:rPr>
        <w:t>piata</w:t>
      </w:r>
      <w:proofErr w:type="spellEnd"/>
      <w:r w:rsidR="00CF019B" w:rsidRPr="0015330B">
        <w:rPr>
          <w:b/>
          <w:sz w:val="24"/>
          <w:szCs w:val="24"/>
        </w:rPr>
        <w:t xml:space="preserve">, </w:t>
      </w:r>
      <w:proofErr w:type="spellStart"/>
      <w:r w:rsidR="00CF019B" w:rsidRPr="0015330B">
        <w:rPr>
          <w:b/>
          <w:sz w:val="24"/>
          <w:szCs w:val="24"/>
        </w:rPr>
        <w:t>volumul</w:t>
      </w:r>
      <w:proofErr w:type="spellEnd"/>
      <w:r w:rsidR="00CF019B" w:rsidRPr="0015330B">
        <w:rPr>
          <w:b/>
          <w:sz w:val="24"/>
          <w:szCs w:val="24"/>
        </w:rPr>
        <w:t xml:space="preserve"> </w:t>
      </w:r>
      <w:proofErr w:type="spellStart"/>
      <w:r w:rsidR="00CF019B" w:rsidRPr="0015330B">
        <w:rPr>
          <w:b/>
          <w:sz w:val="24"/>
          <w:szCs w:val="24"/>
        </w:rPr>
        <w:t>si</w:t>
      </w:r>
      <w:proofErr w:type="spellEnd"/>
      <w:r w:rsidR="00CF019B" w:rsidRPr="0015330B">
        <w:rPr>
          <w:b/>
          <w:sz w:val="24"/>
          <w:szCs w:val="24"/>
        </w:rPr>
        <w:t xml:space="preserve"> </w:t>
      </w:r>
      <w:proofErr w:type="spellStart"/>
      <w:r w:rsidR="00CF019B" w:rsidRPr="0015330B">
        <w:rPr>
          <w:b/>
          <w:sz w:val="24"/>
          <w:szCs w:val="24"/>
        </w:rPr>
        <w:t>numarul</w:t>
      </w:r>
      <w:proofErr w:type="spellEnd"/>
      <w:r w:rsidR="00CF019B" w:rsidRPr="0015330B">
        <w:rPr>
          <w:b/>
          <w:sz w:val="24"/>
          <w:szCs w:val="24"/>
        </w:rPr>
        <w:t xml:space="preserve"> de </w:t>
      </w:r>
      <w:proofErr w:type="spellStart"/>
      <w:r w:rsidR="00CF019B" w:rsidRPr="0015330B">
        <w:rPr>
          <w:b/>
          <w:sz w:val="24"/>
          <w:szCs w:val="24"/>
        </w:rPr>
        <w:t>ordine</w:t>
      </w:r>
      <w:proofErr w:type="spellEnd"/>
      <w:r w:rsidR="00CF019B" w:rsidRPr="0015330B">
        <w:rPr>
          <w:b/>
          <w:sz w:val="24"/>
          <w:szCs w:val="24"/>
        </w:rPr>
        <w:t xml:space="preserve"> </w:t>
      </w:r>
      <w:proofErr w:type="spellStart"/>
      <w:r w:rsidR="00CF019B" w:rsidRPr="0015330B">
        <w:rPr>
          <w:b/>
          <w:sz w:val="24"/>
          <w:szCs w:val="24"/>
        </w:rPr>
        <w:t>executate</w:t>
      </w:r>
      <w:proofErr w:type="spellEnd"/>
      <w:r w:rsidR="00CF019B" w:rsidRPr="0015330B">
        <w:rPr>
          <w:b/>
          <w:sz w:val="24"/>
          <w:szCs w:val="24"/>
        </w:rPr>
        <w:t xml:space="preserve"> de </w:t>
      </w:r>
      <w:proofErr w:type="spellStart"/>
      <w:r w:rsidR="00CF019B" w:rsidRPr="0015330B">
        <w:rPr>
          <w:b/>
          <w:sz w:val="24"/>
          <w:szCs w:val="24"/>
        </w:rPr>
        <w:t>catre</w:t>
      </w:r>
      <w:proofErr w:type="spellEnd"/>
      <w:r w:rsidR="00CF019B" w:rsidRPr="0015330B">
        <w:rPr>
          <w:b/>
          <w:sz w:val="24"/>
          <w:szCs w:val="24"/>
        </w:rPr>
        <w:t xml:space="preserve"> </w:t>
      </w:r>
      <w:proofErr w:type="spellStart"/>
      <w:r w:rsidR="00CF019B" w:rsidRPr="0015330B">
        <w:rPr>
          <w:b/>
          <w:sz w:val="24"/>
          <w:szCs w:val="24"/>
        </w:rPr>
        <w:t>clientii</w:t>
      </w:r>
      <w:proofErr w:type="spellEnd"/>
      <w:r w:rsidR="00CF019B" w:rsidRPr="0015330B">
        <w:rPr>
          <w:b/>
          <w:sz w:val="24"/>
          <w:szCs w:val="24"/>
        </w:rPr>
        <w:t xml:space="preserve"> de retail:</w:t>
      </w:r>
    </w:p>
    <w:p w:rsidR="00CF019B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6855D3" w:rsidTr="001A736C">
        <w:tc>
          <w:tcPr>
            <w:tcW w:w="3168" w:type="dxa"/>
            <w:tcBorders>
              <w:right w:val="single" w:sz="4" w:space="0" w:color="auto"/>
            </w:tcBorders>
          </w:tcPr>
          <w:p w:rsidR="006855D3" w:rsidRPr="006855D3" w:rsidRDefault="006855D3" w:rsidP="00CF019B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5D3" w:rsidRPr="006855D3" w:rsidRDefault="005777A4" w:rsidP="00CF019B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Titluri</w:t>
            </w:r>
            <w:proofErr w:type="spellEnd"/>
            <w:r>
              <w:rPr>
                <w:b/>
              </w:rPr>
              <w:t xml:space="preserve"> de capital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D3" w:rsidRDefault="006855D3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855D3" w:rsidTr="001A736C">
        <w:tc>
          <w:tcPr>
            <w:tcW w:w="3168" w:type="dxa"/>
            <w:tcBorders>
              <w:right w:val="single" w:sz="4" w:space="0" w:color="auto"/>
            </w:tcBorders>
          </w:tcPr>
          <w:p w:rsidR="006855D3" w:rsidRDefault="00E801CF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</w:t>
            </w:r>
            <w:r w:rsidR="001A736C">
              <w:t xml:space="preserve">n </w:t>
            </w:r>
            <w:proofErr w:type="spellStart"/>
            <w:r w:rsidR="001A736C">
              <w:t>anul</w:t>
            </w:r>
            <w:proofErr w:type="spellEnd"/>
            <w:r w:rsidR="001A736C">
              <w:t xml:space="preserve"> precedent s-</w:t>
            </w:r>
            <w:r>
              <w:t xml:space="preserve">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</w:t>
            </w:r>
            <w:r w:rsidR="001A736C">
              <w:t>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5D3" w:rsidRPr="001A736C" w:rsidRDefault="00EE2885" w:rsidP="001A736C">
            <w:pPr>
              <w:suppressAutoHyphens/>
              <w:spacing w:line="360" w:lineRule="auto"/>
              <w:jc w:val="center"/>
            </w:pPr>
            <w:r>
              <w:t>NU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3" w:rsidRDefault="006855D3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855D3" w:rsidTr="001A736C">
        <w:tc>
          <w:tcPr>
            <w:tcW w:w="3168" w:type="dxa"/>
          </w:tcPr>
          <w:p w:rsidR="006855D3" w:rsidRDefault="001A736C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</w:t>
            </w:r>
            <w:r w:rsidR="00E801CF">
              <w:t xml:space="preserve"> </w:t>
            </w:r>
            <w:proofErr w:type="spellStart"/>
            <w:r w:rsidR="00E801CF">
              <w:t>vedere</w:t>
            </w:r>
            <w:proofErr w:type="spellEnd"/>
            <w:r w:rsidR="00E801CF">
              <w:t xml:space="preserve"> al </w:t>
            </w:r>
            <w:proofErr w:type="spellStart"/>
            <w:r w:rsidR="00E801CF">
              <w:t>volumelor</w:t>
            </w:r>
            <w:proofErr w:type="spellEnd"/>
            <w:r w:rsidR="00E801CF">
              <w:t xml:space="preserve"> de </w:t>
            </w:r>
            <w:proofErr w:type="spellStart"/>
            <w:r w:rsidR="00E801CF">
              <w:t>tranzactionare</w:t>
            </w:r>
            <w:proofErr w:type="spellEnd"/>
            <w:r w:rsidR="00E801CF">
              <w:t xml:space="preserve"> (</w:t>
            </w:r>
            <w:proofErr w:type="spellStart"/>
            <w:r w:rsidR="00E801CF">
              <w:t>ordine</w:t>
            </w:r>
            <w:proofErr w:type="spellEnd"/>
            <w:r w:rsidR="00E801CF">
              <w:t xml:space="preserve"> </w:t>
            </w:r>
            <w:proofErr w:type="spellStart"/>
            <w:r w:rsidR="00E801CF">
              <w:t>descresca</w:t>
            </w:r>
            <w:r>
              <w:t>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6855D3" w:rsidRDefault="00E801CF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 w:rsidR="001A736C">
              <w:t xml:space="preserve"> ca </w:t>
            </w:r>
            <w:proofErr w:type="spellStart"/>
            <w:r w:rsidR="001A736C">
              <w:t>procent</w:t>
            </w:r>
            <w:proofErr w:type="spellEnd"/>
            <w:r w:rsidR="001A736C">
              <w:t xml:space="preserve"> din </w:t>
            </w:r>
            <w:proofErr w:type="spellStart"/>
            <w:r w:rsidR="001A736C">
              <w:t>totalul</w:t>
            </w:r>
            <w:proofErr w:type="spellEnd"/>
            <w:r w:rsidR="001A736C">
              <w:t xml:space="preserve"> </w:t>
            </w:r>
            <w:proofErr w:type="spellStart"/>
            <w:r w:rsidR="001A736C">
              <w:t>înregistrat</w:t>
            </w:r>
            <w:proofErr w:type="spellEnd"/>
            <w:r w:rsidR="001A736C">
              <w:t xml:space="preserve"> </w:t>
            </w:r>
            <w:proofErr w:type="spellStart"/>
            <w:r w:rsidR="001A736C">
              <w:t>pentru</w:t>
            </w:r>
            <w:proofErr w:type="spellEnd"/>
            <w:r w:rsidR="001A736C">
              <w:t xml:space="preserve"> </w:t>
            </w:r>
            <w:proofErr w:type="spellStart"/>
            <w:r w:rsidR="001A736C">
              <w:t>această</w:t>
            </w:r>
            <w:proofErr w:type="spellEnd"/>
            <w:r w:rsidR="001A736C">
              <w:t xml:space="preserve"> </w:t>
            </w:r>
            <w:proofErr w:type="spellStart"/>
            <w:r w:rsidR="001A736C">
              <w:t>clas</w:t>
            </w:r>
            <w:r>
              <w:t>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6855D3" w:rsidRDefault="00E801CF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 w:rsidR="001A736C">
              <w:t xml:space="preserve"> ca </w:t>
            </w:r>
            <w:proofErr w:type="spellStart"/>
            <w:r w:rsidR="001A736C">
              <w:t>procent</w:t>
            </w:r>
            <w:proofErr w:type="spellEnd"/>
            <w:r w:rsidR="001A736C">
              <w:t xml:space="preserve"> din </w:t>
            </w:r>
            <w:proofErr w:type="spellStart"/>
            <w:r w:rsidR="001A736C">
              <w:t>totalul</w:t>
            </w:r>
            <w:proofErr w:type="spellEnd"/>
            <w:r w:rsidR="001A736C">
              <w:t xml:space="preserve"> </w:t>
            </w:r>
            <w:proofErr w:type="spellStart"/>
            <w:r w:rsidR="001A736C">
              <w:t>înregistrat</w:t>
            </w:r>
            <w:proofErr w:type="spellEnd"/>
            <w:r w:rsidR="001A736C">
              <w:t xml:space="preserve"> </w:t>
            </w:r>
            <w:proofErr w:type="spellStart"/>
            <w:r w:rsidR="001A736C">
              <w:t>pentru</w:t>
            </w:r>
            <w:proofErr w:type="spellEnd"/>
            <w:r w:rsidR="001A736C">
              <w:t xml:space="preserve"> </w:t>
            </w:r>
            <w:proofErr w:type="spellStart"/>
            <w:r w:rsidR="001A736C">
              <w:t>această</w:t>
            </w:r>
            <w:proofErr w:type="spellEnd"/>
            <w:r w:rsidR="001A736C">
              <w:t xml:space="preserve"> </w:t>
            </w:r>
            <w:proofErr w:type="spellStart"/>
            <w:r w:rsidR="001A736C">
              <w:t>clas</w:t>
            </w:r>
            <w:r>
              <w:t>a</w:t>
            </w:r>
            <w:proofErr w:type="spellEnd"/>
          </w:p>
        </w:tc>
      </w:tr>
      <w:tr w:rsidR="006855D3" w:rsidTr="001A736C">
        <w:tc>
          <w:tcPr>
            <w:tcW w:w="3168" w:type="dxa"/>
          </w:tcPr>
          <w:p w:rsidR="006855D3" w:rsidRPr="00E801CF" w:rsidRDefault="00E801CF" w:rsidP="00E801C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</w:t>
            </w:r>
            <w:r w:rsidR="001A736C" w:rsidRPr="00E801CF">
              <w:rPr>
                <w:b/>
                <w:sz w:val="18"/>
                <w:szCs w:val="18"/>
              </w:rPr>
              <w:t xml:space="preserve"> cod LEI 2549004BOCU15LMNDJ92</w:t>
            </w:r>
          </w:p>
        </w:tc>
        <w:tc>
          <w:tcPr>
            <w:tcW w:w="2993" w:type="dxa"/>
          </w:tcPr>
          <w:p w:rsidR="006855D3" w:rsidRDefault="00EE2885" w:rsidP="00EE2885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6855D3" w:rsidRDefault="00EE2885" w:rsidP="00CF019B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6855D3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EE2885" w:rsidTr="005F6E7F">
        <w:tc>
          <w:tcPr>
            <w:tcW w:w="3168" w:type="dxa"/>
            <w:tcBorders>
              <w:right w:val="single" w:sz="4" w:space="0" w:color="auto"/>
            </w:tcBorders>
          </w:tcPr>
          <w:p w:rsidR="00EE2885" w:rsidRPr="006855D3" w:rsidRDefault="00EE2885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lastRenderedPageBreak/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85" w:rsidRPr="00EE2885" w:rsidRDefault="00EE2885" w:rsidP="005F6E7F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Instrumente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datorie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885" w:rsidTr="005F6E7F">
        <w:tc>
          <w:tcPr>
            <w:tcW w:w="3168" w:type="dxa"/>
            <w:tcBorders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85" w:rsidRPr="001A736C" w:rsidRDefault="00EE2885" w:rsidP="005F6E7F">
            <w:pPr>
              <w:suppressAutoHyphens/>
              <w:spacing w:line="360" w:lineRule="auto"/>
              <w:jc w:val="center"/>
            </w:pPr>
            <w:r>
              <w:t>DA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885" w:rsidTr="005F6E7F">
        <w:tc>
          <w:tcPr>
            <w:tcW w:w="3168" w:type="dxa"/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EE2885" w:rsidTr="005F6E7F">
        <w:tc>
          <w:tcPr>
            <w:tcW w:w="3168" w:type="dxa"/>
          </w:tcPr>
          <w:p w:rsidR="00EE2885" w:rsidRPr="00E801CF" w:rsidRDefault="00EE2885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EE2885" w:rsidRDefault="00EE2885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EE2885" w:rsidTr="005F6E7F">
        <w:tc>
          <w:tcPr>
            <w:tcW w:w="3168" w:type="dxa"/>
            <w:tcBorders>
              <w:right w:val="single" w:sz="4" w:space="0" w:color="auto"/>
            </w:tcBorders>
          </w:tcPr>
          <w:p w:rsidR="00EE2885" w:rsidRPr="006855D3" w:rsidRDefault="00EE2885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85" w:rsidRPr="00EE2885" w:rsidRDefault="00EE2885" w:rsidP="005F6E7F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Instrumente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financiare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structurate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885" w:rsidTr="005F6E7F">
        <w:tc>
          <w:tcPr>
            <w:tcW w:w="3168" w:type="dxa"/>
            <w:tcBorders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85" w:rsidRPr="001A736C" w:rsidRDefault="00EE2885" w:rsidP="005F6E7F">
            <w:pPr>
              <w:suppressAutoHyphens/>
              <w:spacing w:line="360" w:lineRule="auto"/>
              <w:jc w:val="center"/>
            </w:pPr>
            <w:r>
              <w:t>NU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885" w:rsidTr="005F6E7F">
        <w:tc>
          <w:tcPr>
            <w:tcW w:w="3168" w:type="dxa"/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EE2885" w:rsidTr="005F6E7F">
        <w:tc>
          <w:tcPr>
            <w:tcW w:w="3168" w:type="dxa"/>
          </w:tcPr>
          <w:p w:rsidR="00EE2885" w:rsidRPr="00E801CF" w:rsidRDefault="00EE2885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EE2885" w:rsidRDefault="00EE2885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EE2885" w:rsidRDefault="00EE2885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5777A4" w:rsidTr="005F6E7F">
        <w:tc>
          <w:tcPr>
            <w:tcW w:w="3168" w:type="dxa"/>
            <w:tcBorders>
              <w:right w:val="single" w:sz="4" w:space="0" w:color="auto"/>
            </w:tcBorders>
          </w:tcPr>
          <w:p w:rsidR="005777A4" w:rsidRPr="006855D3" w:rsidRDefault="005777A4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A4" w:rsidRPr="005777A4" w:rsidRDefault="005777A4" w:rsidP="005F6E7F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5777A4">
              <w:rPr>
                <w:b/>
                <w:sz w:val="16"/>
                <w:szCs w:val="16"/>
              </w:rPr>
              <w:t>Produse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7A4">
              <w:rPr>
                <w:b/>
                <w:sz w:val="16"/>
                <w:szCs w:val="16"/>
              </w:rPr>
              <w:t>tranzacționate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Pr="005777A4">
              <w:rPr>
                <w:b/>
                <w:sz w:val="16"/>
                <w:szCs w:val="16"/>
              </w:rPr>
              <w:t>bursă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(ETF), </w:t>
            </w:r>
            <w:proofErr w:type="spellStart"/>
            <w:r w:rsidRPr="005777A4">
              <w:rPr>
                <w:b/>
                <w:sz w:val="16"/>
                <w:szCs w:val="16"/>
              </w:rPr>
              <w:t>titluri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tranzacționate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bursă</w:t>
            </w:r>
            <w:proofErr w:type="spellEnd"/>
            <w:r>
              <w:rPr>
                <w:b/>
                <w:sz w:val="16"/>
                <w:szCs w:val="16"/>
              </w:rPr>
              <w:t xml:space="preserve"> (ETN) </w:t>
            </w:r>
            <w:proofErr w:type="spellStart"/>
            <w:r>
              <w:rPr>
                <w:b/>
                <w:sz w:val="16"/>
                <w:szCs w:val="16"/>
              </w:rPr>
              <w:t>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</w:t>
            </w:r>
            <w:r w:rsidRPr="005777A4">
              <w:rPr>
                <w:b/>
                <w:sz w:val="16"/>
                <w:szCs w:val="16"/>
              </w:rPr>
              <w:t>rfuri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7A4">
              <w:rPr>
                <w:b/>
                <w:sz w:val="16"/>
                <w:szCs w:val="16"/>
              </w:rPr>
              <w:t>tranzacționate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Pr="005777A4">
              <w:rPr>
                <w:b/>
                <w:sz w:val="16"/>
                <w:szCs w:val="16"/>
              </w:rPr>
              <w:t>bursă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(ETC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77A4" w:rsidTr="005F6E7F">
        <w:tc>
          <w:tcPr>
            <w:tcW w:w="3168" w:type="dxa"/>
            <w:tcBorders>
              <w:right w:val="single" w:sz="4" w:space="0" w:color="auto"/>
            </w:tcBorders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4" w:rsidRPr="001A736C" w:rsidRDefault="005777A4" w:rsidP="005F6E7F">
            <w:pPr>
              <w:suppressAutoHyphens/>
              <w:spacing w:line="360" w:lineRule="auto"/>
              <w:jc w:val="center"/>
            </w:pPr>
            <w:r>
              <w:t>DA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77A4" w:rsidTr="005F6E7F">
        <w:tc>
          <w:tcPr>
            <w:tcW w:w="3168" w:type="dxa"/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5777A4" w:rsidTr="005F6E7F">
        <w:tc>
          <w:tcPr>
            <w:tcW w:w="3168" w:type="dxa"/>
          </w:tcPr>
          <w:p w:rsidR="005777A4" w:rsidRPr="00E801CF" w:rsidRDefault="005777A4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5777A4" w:rsidRDefault="005777A4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5777A4" w:rsidRDefault="005777A4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6855D3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6855D3" w:rsidRDefault="006855D3" w:rsidP="00CF019B">
      <w:pPr>
        <w:suppressAutoHyphens/>
        <w:spacing w:line="360" w:lineRule="auto"/>
        <w:jc w:val="both"/>
      </w:pPr>
    </w:p>
    <w:p w:rsidR="0015330B" w:rsidRPr="0015330B" w:rsidRDefault="0015330B" w:rsidP="0015330B">
      <w:pPr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 </w:t>
      </w:r>
      <w:proofErr w:type="spellStart"/>
      <w:r w:rsidRPr="0015330B">
        <w:rPr>
          <w:b/>
          <w:sz w:val="24"/>
          <w:szCs w:val="24"/>
        </w:rPr>
        <w:t>Informatii</w:t>
      </w:r>
      <w:proofErr w:type="spellEnd"/>
      <w:r w:rsidRPr="0015330B">
        <w:rPr>
          <w:b/>
          <w:sz w:val="24"/>
          <w:szCs w:val="24"/>
        </w:rPr>
        <w:t xml:space="preserve"> in </w:t>
      </w:r>
      <w:proofErr w:type="spellStart"/>
      <w:r w:rsidRPr="0015330B">
        <w:rPr>
          <w:b/>
          <w:sz w:val="24"/>
          <w:szCs w:val="24"/>
        </w:rPr>
        <w:t>legatura</w:t>
      </w:r>
      <w:proofErr w:type="spellEnd"/>
      <w:r w:rsidRPr="0015330B">
        <w:rPr>
          <w:b/>
          <w:sz w:val="24"/>
          <w:szCs w:val="24"/>
        </w:rPr>
        <w:t xml:space="preserve"> cu </w:t>
      </w:r>
      <w:proofErr w:type="spellStart"/>
      <w:r w:rsidRPr="0015330B">
        <w:rPr>
          <w:b/>
          <w:sz w:val="24"/>
          <w:szCs w:val="24"/>
        </w:rPr>
        <w:t>piata</w:t>
      </w:r>
      <w:proofErr w:type="spellEnd"/>
      <w:r w:rsidRPr="0015330B">
        <w:rPr>
          <w:b/>
          <w:sz w:val="24"/>
          <w:szCs w:val="24"/>
        </w:rPr>
        <w:t xml:space="preserve">, </w:t>
      </w:r>
      <w:proofErr w:type="spellStart"/>
      <w:r w:rsidRPr="0015330B">
        <w:rPr>
          <w:b/>
          <w:sz w:val="24"/>
          <w:szCs w:val="24"/>
        </w:rPr>
        <w:t>volumul</w:t>
      </w:r>
      <w:proofErr w:type="spellEnd"/>
      <w:r w:rsidRPr="0015330B">
        <w:rPr>
          <w:b/>
          <w:sz w:val="24"/>
          <w:szCs w:val="24"/>
        </w:rPr>
        <w:t xml:space="preserve"> </w:t>
      </w:r>
      <w:proofErr w:type="spellStart"/>
      <w:r w:rsidRPr="0015330B">
        <w:rPr>
          <w:b/>
          <w:sz w:val="24"/>
          <w:szCs w:val="24"/>
        </w:rPr>
        <w:t>si</w:t>
      </w:r>
      <w:proofErr w:type="spellEnd"/>
      <w:r w:rsidRPr="0015330B">
        <w:rPr>
          <w:b/>
          <w:sz w:val="24"/>
          <w:szCs w:val="24"/>
        </w:rPr>
        <w:t xml:space="preserve"> </w:t>
      </w:r>
      <w:proofErr w:type="spellStart"/>
      <w:r w:rsidRPr="0015330B">
        <w:rPr>
          <w:b/>
          <w:sz w:val="24"/>
          <w:szCs w:val="24"/>
        </w:rPr>
        <w:t>numarul</w:t>
      </w:r>
      <w:proofErr w:type="spellEnd"/>
      <w:r w:rsidRPr="0015330B">
        <w:rPr>
          <w:b/>
          <w:sz w:val="24"/>
          <w:szCs w:val="24"/>
        </w:rPr>
        <w:t xml:space="preserve"> de </w:t>
      </w:r>
      <w:proofErr w:type="spellStart"/>
      <w:r w:rsidRPr="0015330B">
        <w:rPr>
          <w:b/>
          <w:sz w:val="24"/>
          <w:szCs w:val="24"/>
        </w:rPr>
        <w:t>ordine</w:t>
      </w:r>
      <w:proofErr w:type="spellEnd"/>
      <w:r w:rsidRPr="0015330B">
        <w:rPr>
          <w:b/>
          <w:sz w:val="24"/>
          <w:szCs w:val="24"/>
        </w:rPr>
        <w:t xml:space="preserve"> </w:t>
      </w:r>
      <w:proofErr w:type="spellStart"/>
      <w:r w:rsidRPr="0015330B">
        <w:rPr>
          <w:b/>
          <w:sz w:val="24"/>
          <w:szCs w:val="24"/>
        </w:rPr>
        <w:t>executate</w:t>
      </w:r>
      <w:proofErr w:type="spellEnd"/>
      <w:r w:rsidRPr="0015330B">
        <w:rPr>
          <w:b/>
          <w:sz w:val="24"/>
          <w:szCs w:val="24"/>
        </w:rPr>
        <w:t xml:space="preserve"> de </w:t>
      </w:r>
      <w:proofErr w:type="spellStart"/>
      <w:r w:rsidRPr="0015330B">
        <w:rPr>
          <w:b/>
          <w:sz w:val="24"/>
          <w:szCs w:val="24"/>
        </w:rPr>
        <w:t>catre</w:t>
      </w:r>
      <w:proofErr w:type="spellEnd"/>
      <w:r w:rsidRPr="0015330B">
        <w:rPr>
          <w:b/>
          <w:sz w:val="24"/>
          <w:szCs w:val="24"/>
        </w:rPr>
        <w:t xml:space="preserve"> </w:t>
      </w:r>
      <w:proofErr w:type="spellStart"/>
      <w:r w:rsidRPr="0015330B">
        <w:rPr>
          <w:b/>
          <w:sz w:val="24"/>
          <w:szCs w:val="24"/>
        </w:rPr>
        <w:t>clientii</w:t>
      </w:r>
      <w:proofErr w:type="spellEnd"/>
      <w:r w:rsidRPr="0015330B">
        <w:rPr>
          <w:b/>
          <w:sz w:val="24"/>
          <w:szCs w:val="24"/>
        </w:rPr>
        <w:t xml:space="preserve"> </w:t>
      </w:r>
      <w:proofErr w:type="spellStart"/>
      <w:proofErr w:type="gramStart"/>
      <w:r w:rsidRPr="0015330B">
        <w:rPr>
          <w:b/>
          <w:sz w:val="24"/>
          <w:szCs w:val="24"/>
        </w:rPr>
        <w:t>profesionali</w:t>
      </w:r>
      <w:proofErr w:type="spellEnd"/>
      <w:r w:rsidRPr="0015330B">
        <w:rPr>
          <w:b/>
          <w:sz w:val="24"/>
          <w:szCs w:val="24"/>
        </w:rPr>
        <w:t xml:space="preserve"> :</w:t>
      </w:r>
      <w:proofErr w:type="gramEnd"/>
    </w:p>
    <w:p w:rsidR="00CF019B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Pr="006855D3" w:rsidRDefault="0015330B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30B" w:rsidRPr="006855D3" w:rsidRDefault="0015330B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Titluri</w:t>
            </w:r>
            <w:proofErr w:type="spellEnd"/>
            <w:r>
              <w:rPr>
                <w:b/>
              </w:rPr>
              <w:t xml:space="preserve"> de capital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0B" w:rsidRPr="001A736C" w:rsidRDefault="0015330B" w:rsidP="005F6E7F">
            <w:pPr>
              <w:suppressAutoHyphens/>
              <w:spacing w:line="360" w:lineRule="auto"/>
              <w:jc w:val="center"/>
            </w:pPr>
            <w:r>
              <w:t>NU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15330B" w:rsidTr="005F6E7F">
        <w:tc>
          <w:tcPr>
            <w:tcW w:w="3168" w:type="dxa"/>
          </w:tcPr>
          <w:p w:rsidR="0015330B" w:rsidRPr="00E801CF" w:rsidRDefault="0015330B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15330B" w:rsidRDefault="0015330B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CF019B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Pr="006855D3" w:rsidRDefault="0015330B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30B" w:rsidRPr="00EE2885" w:rsidRDefault="0015330B" w:rsidP="005F6E7F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Instrumente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datorie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0B" w:rsidRPr="001A736C" w:rsidRDefault="0015330B" w:rsidP="005F6E7F">
            <w:pPr>
              <w:suppressAutoHyphens/>
              <w:spacing w:line="360" w:lineRule="auto"/>
              <w:jc w:val="center"/>
            </w:pPr>
            <w:r>
              <w:t>DA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15330B" w:rsidTr="005F6E7F">
        <w:tc>
          <w:tcPr>
            <w:tcW w:w="3168" w:type="dxa"/>
          </w:tcPr>
          <w:p w:rsidR="0015330B" w:rsidRPr="00E801CF" w:rsidRDefault="0015330B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15330B" w:rsidRDefault="0015330B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15330B" w:rsidRDefault="0015330B" w:rsidP="0015330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Pr="006855D3" w:rsidRDefault="0015330B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30B" w:rsidRPr="00EE2885" w:rsidRDefault="0015330B" w:rsidP="005F6E7F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Instrumente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financiare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structurate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0B" w:rsidRPr="001A736C" w:rsidRDefault="0015330B" w:rsidP="005F6E7F">
            <w:pPr>
              <w:suppressAutoHyphens/>
              <w:spacing w:line="360" w:lineRule="auto"/>
              <w:jc w:val="center"/>
            </w:pPr>
            <w:r>
              <w:t>DA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15330B" w:rsidTr="005F6E7F">
        <w:tc>
          <w:tcPr>
            <w:tcW w:w="3168" w:type="dxa"/>
          </w:tcPr>
          <w:p w:rsidR="0015330B" w:rsidRPr="00E801CF" w:rsidRDefault="0015330B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15330B" w:rsidRDefault="0015330B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15330B" w:rsidRDefault="0015330B" w:rsidP="0015330B">
      <w:pPr>
        <w:suppressAutoHyphens/>
        <w:spacing w:line="360" w:lineRule="auto"/>
        <w:jc w:val="both"/>
        <w:rPr>
          <w:sz w:val="24"/>
          <w:szCs w:val="24"/>
        </w:rPr>
      </w:pPr>
    </w:p>
    <w:p w:rsidR="0015330B" w:rsidRDefault="0015330B" w:rsidP="0015330B">
      <w:pPr>
        <w:suppressAutoHyphens/>
        <w:spacing w:line="360" w:lineRule="auto"/>
        <w:jc w:val="both"/>
        <w:rPr>
          <w:sz w:val="24"/>
          <w:szCs w:val="24"/>
        </w:rPr>
      </w:pPr>
    </w:p>
    <w:p w:rsidR="0015330B" w:rsidRDefault="0015330B" w:rsidP="0015330B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993"/>
        <w:gridCol w:w="3081"/>
      </w:tblGrid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Pr="006855D3" w:rsidRDefault="0015330B" w:rsidP="005F6E7F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55D3">
              <w:rPr>
                <w:b/>
              </w:rPr>
              <w:lastRenderedPageBreak/>
              <w:t>Clasa</w:t>
            </w:r>
            <w:proofErr w:type="spellEnd"/>
            <w:r w:rsidRPr="006855D3">
              <w:rPr>
                <w:b/>
              </w:rPr>
              <w:t xml:space="preserve"> </w:t>
            </w:r>
            <w:proofErr w:type="spellStart"/>
            <w:r w:rsidRPr="006855D3">
              <w:rPr>
                <w:b/>
              </w:rPr>
              <w:t>instrumentului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30B" w:rsidRPr="005777A4" w:rsidRDefault="0015330B" w:rsidP="005F6E7F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5777A4">
              <w:rPr>
                <w:b/>
                <w:sz w:val="16"/>
                <w:szCs w:val="16"/>
              </w:rPr>
              <w:t>Produse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7A4">
              <w:rPr>
                <w:b/>
                <w:sz w:val="16"/>
                <w:szCs w:val="16"/>
              </w:rPr>
              <w:t>tranzacționate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Pr="005777A4">
              <w:rPr>
                <w:b/>
                <w:sz w:val="16"/>
                <w:szCs w:val="16"/>
              </w:rPr>
              <w:t>bursă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(ETF), </w:t>
            </w:r>
            <w:proofErr w:type="spellStart"/>
            <w:r w:rsidRPr="005777A4">
              <w:rPr>
                <w:b/>
                <w:sz w:val="16"/>
                <w:szCs w:val="16"/>
              </w:rPr>
              <w:t>titluri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tranzacționate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bursă</w:t>
            </w:r>
            <w:proofErr w:type="spellEnd"/>
            <w:r>
              <w:rPr>
                <w:b/>
                <w:sz w:val="16"/>
                <w:szCs w:val="16"/>
              </w:rPr>
              <w:t xml:space="preserve"> (ETN) </w:t>
            </w:r>
            <w:proofErr w:type="spellStart"/>
            <w:r>
              <w:rPr>
                <w:b/>
                <w:sz w:val="16"/>
                <w:szCs w:val="16"/>
              </w:rPr>
              <w:t>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</w:t>
            </w:r>
            <w:r w:rsidRPr="005777A4">
              <w:rPr>
                <w:b/>
                <w:sz w:val="16"/>
                <w:szCs w:val="16"/>
              </w:rPr>
              <w:t>rfuri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7A4">
              <w:rPr>
                <w:b/>
                <w:sz w:val="16"/>
                <w:szCs w:val="16"/>
              </w:rPr>
              <w:t>tranzacționate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Pr="005777A4">
              <w:rPr>
                <w:b/>
                <w:sz w:val="16"/>
                <w:szCs w:val="16"/>
              </w:rPr>
              <w:t>bursă</w:t>
            </w:r>
            <w:proofErr w:type="spellEnd"/>
            <w:r w:rsidRPr="005777A4">
              <w:rPr>
                <w:b/>
                <w:sz w:val="16"/>
                <w:szCs w:val="16"/>
              </w:rPr>
              <w:t xml:space="preserve"> (ETC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  <w:tcBorders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Notificare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precedent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  <w:r>
              <w:t xml:space="preserve"> &lt; 1 </w:t>
            </w:r>
            <w:proofErr w:type="spellStart"/>
            <w:r>
              <w:t>tranzactie</w:t>
            </w:r>
            <w:proofErr w:type="spellEnd"/>
            <w:r>
              <w:t xml:space="preserve"> per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0B" w:rsidRPr="001A736C" w:rsidRDefault="0015330B" w:rsidP="005F6E7F">
            <w:pPr>
              <w:suppressAutoHyphens/>
              <w:spacing w:line="360" w:lineRule="auto"/>
              <w:jc w:val="center"/>
            </w:pPr>
            <w:r>
              <w:t>DA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5330B" w:rsidTr="005F6E7F">
        <w:tc>
          <w:tcPr>
            <w:tcW w:w="3168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  <w:r>
              <w:t xml:space="preserve"> din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volumelor</w:t>
            </w:r>
            <w:proofErr w:type="spellEnd"/>
            <w:r>
              <w:t xml:space="preserve"> de </w:t>
            </w:r>
            <w:proofErr w:type="spellStart"/>
            <w:r>
              <w:t>tranzactionare</w:t>
            </w:r>
            <w:proofErr w:type="spellEnd"/>
            <w:r>
              <w:t xml:space="preserve"> (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>)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Proporția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>
              <w:t xml:space="preserve"> </w:t>
            </w:r>
            <w:proofErr w:type="spellStart"/>
            <w:r>
              <w:t>tranzactionat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t>Proportia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</w:t>
            </w:r>
            <w:proofErr w:type="spellStart"/>
            <w:r>
              <w:t>executate</w:t>
            </w:r>
            <w:proofErr w:type="spellEnd"/>
            <w:r>
              <w:t xml:space="preserve"> </w:t>
            </w:r>
            <w:proofErr w:type="spellStart"/>
            <w:r>
              <w:t>exprimata</w:t>
            </w:r>
            <w:proofErr w:type="spellEnd"/>
            <w:r>
              <w:t xml:space="preserve"> ca </w:t>
            </w:r>
            <w:proofErr w:type="spellStart"/>
            <w:r>
              <w:t>procent</w:t>
            </w:r>
            <w:proofErr w:type="spellEnd"/>
            <w:r>
              <w:t xml:space="preserve">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înregistrat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</w:p>
        </w:tc>
      </w:tr>
      <w:tr w:rsidR="0015330B" w:rsidTr="005F6E7F">
        <w:tc>
          <w:tcPr>
            <w:tcW w:w="3168" w:type="dxa"/>
          </w:tcPr>
          <w:p w:rsidR="0015330B" w:rsidRPr="00E801CF" w:rsidRDefault="0015330B" w:rsidP="005F6E7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801CF">
              <w:rPr>
                <w:b/>
                <w:sz w:val="18"/>
                <w:szCs w:val="18"/>
              </w:rPr>
              <w:t>BURSA DE VALORI BUCURESTI cod LEI 2549004BOCU15LMNDJ92</w:t>
            </w:r>
          </w:p>
        </w:tc>
        <w:tc>
          <w:tcPr>
            <w:tcW w:w="2993" w:type="dxa"/>
          </w:tcPr>
          <w:p w:rsidR="0015330B" w:rsidRDefault="0015330B" w:rsidP="005F6E7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81" w:type="dxa"/>
          </w:tcPr>
          <w:p w:rsidR="0015330B" w:rsidRDefault="0015330B" w:rsidP="005F6E7F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</w:tr>
    </w:tbl>
    <w:p w:rsidR="00CF019B" w:rsidRDefault="00CF019B" w:rsidP="00CF019B">
      <w:pPr>
        <w:suppressAutoHyphens/>
        <w:spacing w:line="360" w:lineRule="auto"/>
        <w:jc w:val="both"/>
        <w:rPr>
          <w:sz w:val="24"/>
          <w:szCs w:val="24"/>
        </w:rPr>
      </w:pPr>
    </w:p>
    <w:p w:rsidR="0015330B" w:rsidRDefault="0015330B" w:rsidP="00CF019B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15330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Detalii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executiei</w:t>
      </w:r>
      <w:proofErr w:type="spellEnd"/>
    </w:p>
    <w:p w:rsidR="00480350" w:rsidRDefault="00480350" w:rsidP="00CF019B">
      <w:pPr>
        <w:suppressAutoHyphens/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80350" w:rsidTr="00480350">
        <w:tc>
          <w:tcPr>
            <w:tcW w:w="4621" w:type="dxa"/>
          </w:tcPr>
          <w:p w:rsidR="00480350" w:rsidRPr="00480350" w:rsidRDefault="00480350" w:rsidP="00CF019B">
            <w:pPr>
              <w:suppressAutoHyphens/>
              <w:spacing w:line="360" w:lineRule="auto"/>
              <w:jc w:val="both"/>
              <w:rPr>
                <w:b/>
              </w:rPr>
            </w:pPr>
            <w:proofErr w:type="spellStart"/>
            <w:r w:rsidRPr="00480350">
              <w:t>Cerințe</w:t>
            </w:r>
            <w:proofErr w:type="spellEnd"/>
            <w:r w:rsidRPr="00480350">
              <w:t xml:space="preserve"> conform art. 3(3) din </w:t>
            </w:r>
            <w:proofErr w:type="spellStart"/>
            <w:r w:rsidRPr="00480350">
              <w:t>Regulamentul</w:t>
            </w:r>
            <w:proofErr w:type="spellEnd"/>
            <w:r w:rsidRPr="00480350">
              <w:t xml:space="preserve"> </w:t>
            </w:r>
            <w:proofErr w:type="spellStart"/>
            <w:r w:rsidRPr="00480350">
              <w:t>Delegat</w:t>
            </w:r>
            <w:proofErr w:type="spellEnd"/>
            <w:r w:rsidRPr="00480350">
              <w:t xml:space="preserve"> (UE)2017/576</w:t>
            </w:r>
          </w:p>
        </w:tc>
        <w:tc>
          <w:tcPr>
            <w:tcW w:w="4621" w:type="dxa"/>
          </w:tcPr>
          <w:p w:rsidR="00480350" w:rsidRDefault="00480350" w:rsidP="00480350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Detalii</w:t>
            </w:r>
            <w:proofErr w:type="spellEnd"/>
            <w:r>
              <w:t xml:space="preserve"> SSIF Bursa </w:t>
            </w:r>
            <w:proofErr w:type="spellStart"/>
            <w:r>
              <w:t>Romana</w:t>
            </w:r>
            <w:proofErr w:type="spellEnd"/>
            <w:r>
              <w:t xml:space="preserve"> de </w:t>
            </w:r>
            <w:proofErr w:type="spellStart"/>
            <w:r>
              <w:t>Marfuri</w:t>
            </w:r>
            <w:proofErr w:type="spellEnd"/>
            <w:r>
              <w:t xml:space="preserve"> S.A</w:t>
            </w:r>
          </w:p>
        </w:tc>
      </w:tr>
      <w:tr w:rsidR="00480350" w:rsidTr="00480350">
        <w:tc>
          <w:tcPr>
            <w:tcW w:w="4621" w:type="dxa"/>
          </w:tcPr>
          <w:p w:rsidR="00480350" w:rsidRPr="00906C42" w:rsidRDefault="00480350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(a)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importanței</w:t>
            </w:r>
            <w:proofErr w:type="spellEnd"/>
            <w:r w:rsidRPr="00906C42">
              <w:rPr>
                <w:sz w:val="16"/>
                <w:szCs w:val="16"/>
              </w:rPr>
              <w:t xml:space="preserve"> relative </w:t>
            </w:r>
            <w:proofErr w:type="spellStart"/>
            <w:r w:rsidRPr="00906C42">
              <w:rPr>
                <w:sz w:val="16"/>
                <w:szCs w:val="16"/>
              </w:rPr>
              <w:t>pe</w:t>
            </w:r>
            <w:proofErr w:type="spellEnd"/>
            <w:r w:rsidRPr="00906C42">
              <w:rPr>
                <w:sz w:val="16"/>
                <w:szCs w:val="16"/>
              </w:rPr>
              <w:t xml:space="preserve"> care firma a </w:t>
            </w:r>
            <w:proofErr w:type="spellStart"/>
            <w:r w:rsidRPr="00906C42">
              <w:rPr>
                <w:sz w:val="16"/>
                <w:szCs w:val="16"/>
              </w:rPr>
              <w:t>acordat</w:t>
            </w:r>
            <w:proofErr w:type="spellEnd"/>
            <w:r w:rsidRPr="00906C42">
              <w:rPr>
                <w:sz w:val="16"/>
                <w:szCs w:val="16"/>
              </w:rPr>
              <w:t xml:space="preserve">-o </w:t>
            </w:r>
            <w:proofErr w:type="spellStart"/>
            <w:r w:rsidRPr="00906C42">
              <w:rPr>
                <w:sz w:val="16"/>
                <w:szCs w:val="16"/>
              </w:rPr>
              <w:t>prețului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costurilor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rapidității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probabilității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executării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sau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oricărui</w:t>
            </w:r>
            <w:proofErr w:type="spellEnd"/>
            <w:r w:rsidRPr="00906C42">
              <w:rPr>
                <w:sz w:val="16"/>
                <w:szCs w:val="16"/>
              </w:rPr>
              <w:t xml:space="preserve"> alt factor, </w:t>
            </w:r>
            <w:proofErr w:type="spellStart"/>
            <w:r w:rsidRPr="00906C42">
              <w:rPr>
                <w:sz w:val="16"/>
                <w:szCs w:val="16"/>
              </w:rPr>
              <w:t>inclusivcalitativ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evaluarea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calității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executării</w:t>
            </w:r>
            <w:proofErr w:type="spellEnd"/>
          </w:p>
        </w:tc>
        <w:tc>
          <w:tcPr>
            <w:tcW w:w="4621" w:type="dxa"/>
          </w:tcPr>
          <w:p w:rsidR="00480350" w:rsidRPr="00906C42" w:rsidRDefault="00480350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Criteriile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luate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considerare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pentru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asigurarea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celei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mai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bune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execuții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și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importanța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acordată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acestora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sunt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prezentate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Politica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ordinelor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(b) o </w:t>
            </w:r>
            <w:proofErr w:type="spellStart"/>
            <w:r w:rsidRPr="00906C42">
              <w:rPr>
                <w:sz w:val="16"/>
                <w:szCs w:val="16"/>
              </w:rPr>
              <w:t>descriere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oricăror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legături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strânse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conflicte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interese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și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participații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comune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privește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oricare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dintre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locurile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utilizate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pentru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executarea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ordinelor</w:t>
            </w:r>
            <w:proofErr w:type="spellEnd"/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(c) o </w:t>
            </w:r>
            <w:proofErr w:type="spellStart"/>
            <w:r w:rsidRPr="00906C42">
              <w:rPr>
                <w:sz w:val="16"/>
                <w:szCs w:val="16"/>
              </w:rPr>
              <w:t>descriere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oricăror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acorduri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specifice</w:t>
            </w:r>
            <w:proofErr w:type="spellEnd"/>
            <w:r w:rsidRPr="00906C42">
              <w:rPr>
                <w:sz w:val="16"/>
                <w:szCs w:val="16"/>
              </w:rPr>
              <w:t xml:space="preserve"> cu </w:t>
            </w:r>
            <w:proofErr w:type="spellStart"/>
            <w:r w:rsidRPr="00906C42">
              <w:rPr>
                <w:sz w:val="16"/>
                <w:szCs w:val="16"/>
              </w:rPr>
              <w:t>oricare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dintre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locurile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privește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plățile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efectuate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sau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primite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reducerile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rabaturile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sau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beneficiile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nemonetare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primite</w:t>
            </w:r>
            <w:proofErr w:type="spellEnd"/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(d)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factorilor</w:t>
            </w:r>
            <w:proofErr w:type="spellEnd"/>
            <w:r w:rsidRPr="00906C42">
              <w:rPr>
                <w:sz w:val="16"/>
                <w:szCs w:val="16"/>
              </w:rPr>
              <w:t xml:space="preserve"> care au </w:t>
            </w:r>
            <w:proofErr w:type="spellStart"/>
            <w:r w:rsidRPr="00906C42">
              <w:rPr>
                <w:sz w:val="16"/>
                <w:szCs w:val="16"/>
              </w:rPr>
              <w:t>dus</w:t>
            </w:r>
            <w:proofErr w:type="spellEnd"/>
            <w:r w:rsidRPr="00906C42">
              <w:rPr>
                <w:sz w:val="16"/>
                <w:szCs w:val="16"/>
              </w:rPr>
              <w:t xml:space="preserve"> la </w:t>
            </w:r>
            <w:proofErr w:type="spellStart"/>
            <w:r w:rsidRPr="00906C42">
              <w:rPr>
                <w:sz w:val="16"/>
                <w:szCs w:val="16"/>
              </w:rPr>
              <w:t>modificarea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listei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locurilor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 indicate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politica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firmei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materie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dacă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avut</w:t>
            </w:r>
            <w:proofErr w:type="spellEnd"/>
            <w:r w:rsidRPr="00906C42">
              <w:rPr>
                <w:sz w:val="16"/>
                <w:szCs w:val="16"/>
              </w:rPr>
              <w:t xml:space="preserve"> loc o </w:t>
            </w:r>
            <w:proofErr w:type="spellStart"/>
            <w:r w:rsidRPr="00906C42">
              <w:rPr>
                <w:sz w:val="16"/>
                <w:szCs w:val="16"/>
              </w:rPr>
              <w:t>astfel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modificare</w:t>
            </w:r>
            <w:proofErr w:type="spellEnd"/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e)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care firma </w:t>
            </w:r>
            <w:proofErr w:type="spellStart"/>
            <w:r w:rsidRPr="00906C42">
              <w:rPr>
                <w:sz w:val="16"/>
                <w:szCs w:val="16"/>
              </w:rPr>
              <w:t>tratează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categoriile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clienți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mod </w:t>
            </w:r>
            <w:proofErr w:type="spellStart"/>
            <w:r w:rsidRPr="00906C42">
              <w:rPr>
                <w:sz w:val="16"/>
                <w:szCs w:val="16"/>
              </w:rPr>
              <w:t>diferit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și</w:t>
            </w:r>
            <w:proofErr w:type="spellEnd"/>
            <w:r w:rsidRPr="00906C42">
              <w:rPr>
                <w:sz w:val="16"/>
                <w:szCs w:val="16"/>
              </w:rPr>
              <w:t xml:space="preserve"> acest </w:t>
            </w:r>
            <w:proofErr w:type="spellStart"/>
            <w:r w:rsidRPr="00906C42">
              <w:rPr>
                <w:sz w:val="16"/>
                <w:szCs w:val="16"/>
              </w:rPr>
              <w:t>lucru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poate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avea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consecințe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asupra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mecanismelor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executare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ordinelor</w:t>
            </w:r>
            <w:proofErr w:type="spellEnd"/>
            <w:r w:rsidRPr="00906C42">
              <w:rPr>
                <w:sz w:val="16"/>
                <w:szCs w:val="16"/>
              </w:rPr>
              <w:t xml:space="preserve">,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modului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care </w:t>
            </w:r>
            <w:proofErr w:type="spellStart"/>
            <w:r w:rsidRPr="00906C42">
              <w:rPr>
                <w:sz w:val="16"/>
                <w:szCs w:val="16"/>
              </w:rPr>
              <w:t>executarea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ordinelor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diferă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funcție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categoriile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clienți</w:t>
            </w:r>
            <w:proofErr w:type="spellEnd"/>
          </w:p>
        </w:tc>
        <w:tc>
          <w:tcPr>
            <w:tcW w:w="4621" w:type="dxa"/>
          </w:tcPr>
          <w:p w:rsidR="00906C42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f) </w:t>
            </w:r>
            <w:proofErr w:type="spellStart"/>
            <w:r w:rsidRPr="00906C42">
              <w:rPr>
                <w:sz w:val="16"/>
                <w:szCs w:val="16"/>
              </w:rPr>
              <w:t>precizarea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însoțită</w:t>
            </w:r>
            <w:proofErr w:type="spellEnd"/>
            <w:r w:rsidRPr="00906C42">
              <w:rPr>
                <w:sz w:val="16"/>
                <w:szCs w:val="16"/>
              </w:rPr>
              <w:t xml:space="preserve"> de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dacă</w:t>
            </w:r>
            <w:proofErr w:type="spellEnd"/>
            <w:r w:rsidRPr="00906C42">
              <w:rPr>
                <w:sz w:val="16"/>
                <w:szCs w:val="16"/>
              </w:rPr>
              <w:t xml:space="preserve"> au </w:t>
            </w:r>
            <w:proofErr w:type="spellStart"/>
            <w:r w:rsidRPr="00906C42">
              <w:rPr>
                <w:sz w:val="16"/>
                <w:szCs w:val="16"/>
              </w:rPr>
              <w:t>fost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preferate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alte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criterii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locul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prețurilor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și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costurilor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imediate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atunci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când</w:t>
            </w:r>
            <w:proofErr w:type="spellEnd"/>
            <w:r w:rsidRPr="00906C42">
              <w:rPr>
                <w:sz w:val="16"/>
                <w:szCs w:val="16"/>
              </w:rPr>
              <w:t xml:space="preserve"> s-au </w:t>
            </w:r>
            <w:proofErr w:type="spellStart"/>
            <w:r w:rsidRPr="00906C42">
              <w:rPr>
                <w:sz w:val="16"/>
                <w:szCs w:val="16"/>
              </w:rPr>
              <w:t>executat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ordinele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clienților</w:t>
            </w:r>
            <w:proofErr w:type="spellEnd"/>
            <w:r w:rsidRPr="00906C42">
              <w:rPr>
                <w:sz w:val="16"/>
                <w:szCs w:val="16"/>
              </w:rPr>
              <w:t xml:space="preserve"> de retail </w:t>
            </w:r>
            <w:proofErr w:type="spellStart"/>
            <w:r w:rsidRPr="00906C42">
              <w:rPr>
                <w:sz w:val="16"/>
                <w:szCs w:val="16"/>
              </w:rPr>
              <w:t>și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modul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care </w:t>
            </w:r>
            <w:proofErr w:type="spellStart"/>
            <w:r w:rsidRPr="00906C42">
              <w:rPr>
                <w:sz w:val="16"/>
                <w:szCs w:val="16"/>
              </w:rPr>
              <w:t>aceste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criterii</w:t>
            </w:r>
            <w:proofErr w:type="spellEnd"/>
            <w:r w:rsidRPr="00906C42">
              <w:rPr>
                <w:sz w:val="16"/>
                <w:szCs w:val="16"/>
              </w:rPr>
              <w:t xml:space="preserve"> au </w:t>
            </w:r>
            <w:proofErr w:type="spellStart"/>
            <w:r w:rsidRPr="00906C42">
              <w:rPr>
                <w:sz w:val="16"/>
                <w:szCs w:val="16"/>
              </w:rPr>
              <w:t>fost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esențiale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pentru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obține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total </w:t>
            </w:r>
            <w:proofErr w:type="spellStart"/>
            <w:r w:rsidRPr="00906C42">
              <w:rPr>
                <w:sz w:val="16"/>
                <w:szCs w:val="16"/>
              </w:rPr>
              <w:t>cel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mai</w:t>
            </w:r>
            <w:proofErr w:type="spellEnd"/>
            <w:r w:rsidRPr="00906C42">
              <w:rPr>
                <w:sz w:val="16"/>
                <w:szCs w:val="16"/>
              </w:rPr>
              <w:t xml:space="preserve"> bun </w:t>
            </w:r>
            <w:proofErr w:type="spellStart"/>
            <w:r w:rsidRPr="00906C42">
              <w:rPr>
                <w:sz w:val="16"/>
                <w:szCs w:val="16"/>
              </w:rPr>
              <w:t>rezultat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posibil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pentru</w:t>
            </w:r>
            <w:proofErr w:type="spellEnd"/>
            <w:r w:rsidRPr="00906C42">
              <w:rPr>
                <w:sz w:val="16"/>
                <w:szCs w:val="16"/>
              </w:rPr>
              <w:t xml:space="preserve"> client                                              </w:t>
            </w:r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g)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modului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care firma de </w:t>
            </w:r>
            <w:proofErr w:type="spellStart"/>
            <w:r w:rsidRPr="00906C42">
              <w:rPr>
                <w:sz w:val="16"/>
                <w:szCs w:val="16"/>
              </w:rPr>
              <w:t>investiții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utilizat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datele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sau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instrumentele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referitoare</w:t>
            </w:r>
            <w:proofErr w:type="spellEnd"/>
            <w:r w:rsidRPr="00906C42">
              <w:rPr>
                <w:sz w:val="16"/>
                <w:szCs w:val="16"/>
              </w:rPr>
              <w:t xml:space="preserve"> la </w:t>
            </w:r>
            <w:proofErr w:type="spellStart"/>
            <w:r w:rsidRPr="00906C42">
              <w:rPr>
                <w:sz w:val="16"/>
                <w:szCs w:val="16"/>
              </w:rPr>
              <w:t>calitatea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executării</w:t>
            </w:r>
            <w:proofErr w:type="spellEnd"/>
            <w:r w:rsidRPr="00906C42">
              <w:rPr>
                <w:sz w:val="16"/>
                <w:szCs w:val="16"/>
              </w:rPr>
              <w:t xml:space="preserve">, </w:t>
            </w:r>
            <w:proofErr w:type="spellStart"/>
            <w:r w:rsidRPr="00906C42">
              <w:rPr>
                <w:sz w:val="16"/>
                <w:szCs w:val="16"/>
              </w:rPr>
              <w:t>inclusiv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orice</w:t>
            </w:r>
            <w:proofErr w:type="spellEnd"/>
            <w:r w:rsidRPr="00906C42">
              <w:rPr>
                <w:sz w:val="16"/>
                <w:szCs w:val="16"/>
              </w:rPr>
              <w:t xml:space="preserve"> date </w:t>
            </w:r>
            <w:proofErr w:type="spellStart"/>
            <w:r w:rsidRPr="00906C42">
              <w:rPr>
                <w:sz w:val="16"/>
                <w:szCs w:val="16"/>
              </w:rPr>
              <w:t>publicate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temeiul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Regulamentului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delegat</w:t>
            </w:r>
            <w:proofErr w:type="spellEnd"/>
            <w:r w:rsidRPr="00906C42">
              <w:rPr>
                <w:sz w:val="16"/>
                <w:szCs w:val="16"/>
              </w:rPr>
              <w:t xml:space="preserve"> (UE) 2017/575</w:t>
            </w:r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  <w:tr w:rsidR="00480350" w:rsidTr="00480350">
        <w:tc>
          <w:tcPr>
            <w:tcW w:w="4621" w:type="dxa"/>
          </w:tcPr>
          <w:p w:rsidR="00480350" w:rsidRPr="00906C42" w:rsidRDefault="00906C42" w:rsidP="00CF019B">
            <w:pPr>
              <w:suppressAutoHyphens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h) </w:t>
            </w:r>
            <w:proofErr w:type="spellStart"/>
            <w:r w:rsidRPr="00906C42">
              <w:rPr>
                <w:sz w:val="16"/>
                <w:szCs w:val="16"/>
              </w:rPr>
              <w:t>dacă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  <w:r w:rsidRPr="00906C42">
              <w:rPr>
                <w:sz w:val="16"/>
                <w:szCs w:val="16"/>
              </w:rPr>
              <w:t xml:space="preserve">, o </w:t>
            </w:r>
            <w:proofErr w:type="spellStart"/>
            <w:r w:rsidRPr="00906C42">
              <w:rPr>
                <w:sz w:val="16"/>
                <w:szCs w:val="16"/>
              </w:rPr>
              <w:t>explicație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modului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care firma de </w:t>
            </w:r>
            <w:proofErr w:type="spellStart"/>
            <w:r w:rsidRPr="00906C42">
              <w:rPr>
                <w:sz w:val="16"/>
                <w:szCs w:val="16"/>
              </w:rPr>
              <w:t>investiții</w:t>
            </w:r>
            <w:proofErr w:type="spellEnd"/>
            <w:r w:rsidRPr="00906C42">
              <w:rPr>
                <w:sz w:val="16"/>
                <w:szCs w:val="16"/>
              </w:rPr>
              <w:t xml:space="preserve"> a </w:t>
            </w:r>
            <w:proofErr w:type="spellStart"/>
            <w:r w:rsidRPr="00906C42">
              <w:rPr>
                <w:sz w:val="16"/>
                <w:szCs w:val="16"/>
              </w:rPr>
              <w:t>utilizat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rezultatele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unui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furnizor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sisteme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centralizate</w:t>
            </w:r>
            <w:proofErr w:type="spellEnd"/>
            <w:r w:rsidRPr="00906C42">
              <w:rPr>
                <w:sz w:val="16"/>
                <w:szCs w:val="16"/>
              </w:rPr>
              <w:t xml:space="preserve"> de </w:t>
            </w:r>
            <w:proofErr w:type="spellStart"/>
            <w:r w:rsidRPr="00906C42">
              <w:rPr>
                <w:sz w:val="16"/>
                <w:szCs w:val="16"/>
              </w:rPr>
              <w:t>raportare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instituit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în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temeiul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articolului</w:t>
            </w:r>
            <w:proofErr w:type="spellEnd"/>
            <w:r w:rsidRPr="00906C42">
              <w:rPr>
                <w:sz w:val="16"/>
                <w:szCs w:val="16"/>
              </w:rPr>
              <w:t xml:space="preserve"> 65 din </w:t>
            </w:r>
            <w:proofErr w:type="spellStart"/>
            <w:r w:rsidRPr="00906C42">
              <w:rPr>
                <w:sz w:val="16"/>
                <w:szCs w:val="16"/>
              </w:rPr>
              <w:t>Directiva</w:t>
            </w:r>
            <w:proofErr w:type="spellEnd"/>
            <w:r w:rsidRPr="00906C42">
              <w:rPr>
                <w:sz w:val="16"/>
                <w:szCs w:val="16"/>
              </w:rPr>
              <w:t xml:space="preserve"> 2014/65/UE</w:t>
            </w:r>
          </w:p>
        </w:tc>
        <w:tc>
          <w:tcPr>
            <w:tcW w:w="4621" w:type="dxa"/>
          </w:tcPr>
          <w:p w:rsidR="00480350" w:rsidRPr="00906C42" w:rsidRDefault="00906C42" w:rsidP="00906C42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06C42">
              <w:rPr>
                <w:sz w:val="16"/>
                <w:szCs w:val="16"/>
              </w:rPr>
              <w:t xml:space="preserve">Nu </w:t>
            </w:r>
            <w:proofErr w:type="spellStart"/>
            <w:r w:rsidRPr="00906C42">
              <w:rPr>
                <w:sz w:val="16"/>
                <w:szCs w:val="16"/>
              </w:rPr>
              <w:t>este</w:t>
            </w:r>
            <w:proofErr w:type="spellEnd"/>
            <w:r w:rsidRPr="00906C42">
              <w:rPr>
                <w:sz w:val="16"/>
                <w:szCs w:val="16"/>
              </w:rPr>
              <w:t xml:space="preserve"> </w:t>
            </w:r>
            <w:proofErr w:type="spellStart"/>
            <w:r w:rsidRPr="00906C42">
              <w:rPr>
                <w:sz w:val="16"/>
                <w:szCs w:val="16"/>
              </w:rPr>
              <w:t>cazul</w:t>
            </w:r>
            <w:proofErr w:type="spellEnd"/>
          </w:p>
        </w:tc>
      </w:tr>
    </w:tbl>
    <w:p w:rsidR="00480350" w:rsidRPr="0015330B" w:rsidRDefault="00480350" w:rsidP="00CF019B">
      <w:pPr>
        <w:suppressAutoHyphens/>
        <w:spacing w:line="360" w:lineRule="auto"/>
        <w:jc w:val="both"/>
        <w:rPr>
          <w:b/>
          <w:spacing w:val="-3"/>
          <w:sz w:val="24"/>
          <w:szCs w:val="24"/>
          <w:lang w:val="en-US"/>
        </w:rPr>
      </w:pPr>
    </w:p>
    <w:sectPr w:rsidR="00480350" w:rsidRPr="0015330B" w:rsidSect="00823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5E" w:rsidRDefault="007F125E">
      <w:r>
        <w:separator/>
      </w:r>
    </w:p>
  </w:endnote>
  <w:endnote w:type="continuationSeparator" w:id="0">
    <w:p w:rsidR="007F125E" w:rsidRDefault="007F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0B" w:rsidRDefault="00777FB4" w:rsidP="00DF7AC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964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95B">
      <w:rPr>
        <w:rStyle w:val="PageNumber"/>
      </w:rPr>
      <w:t>4</w:t>
    </w:r>
    <w:r>
      <w:rPr>
        <w:rStyle w:val="PageNumber"/>
      </w:rPr>
      <w:fldChar w:fldCharType="end"/>
    </w:r>
  </w:p>
  <w:p w:rsidR="0069640B" w:rsidRDefault="0069640B" w:rsidP="00DF7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0B" w:rsidRDefault="00777FB4">
    <w:pPr>
      <w:pStyle w:val="Footer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141" type="#_x0000_t202" style="position:absolute;margin-left:437.15pt;margin-top:-17.75pt;width:49.95pt;height:37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" stroked="f">
          <v:textbox style="mso-fit-shape-to-text:t">
            <w:txbxContent>
              <w:p w:rsidR="0069640B" w:rsidRDefault="0069640B">
                <w:r>
                  <w:rPr>
                    <w:rFonts w:ascii="Bookman Old Style" w:eastAsia="MS Mincho" w:hAnsi="Bookman Old Style" w:cs="Arial"/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>
                      <wp:extent cx="400050" cy="390525"/>
                      <wp:effectExtent l="19050" t="0" r="0" b="0"/>
                      <wp:docPr id="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lang w:val="en-US" w:eastAsia="en-US"/>
      </w:rPr>
      <w:pict>
        <v:shape id="Text Box 42" o:spid="_x0000_s2140" type="#_x0000_t202" style="position:absolute;margin-left:71.15pt;margin-top:773.45pt;width:428.25pt;height:37.75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u/fg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" stroked="f">
          <v:textbox inset="0,0,0,0">
            <w:txbxContent>
              <w:p w:rsidR="0069640B" w:rsidRPr="00811F76" w:rsidRDefault="0069640B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ursa Română de Mărfuri</w:t>
                </w:r>
              </w:p>
              <w:p w:rsidR="0069640B" w:rsidRPr="00811F76" w:rsidRDefault="0069640B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CIF:RO1562694 • J40/19450/1992 • Capital social: 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7.6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80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:rsidR="0069640B" w:rsidRPr="00811F76" w:rsidRDefault="0069640B" w:rsidP="00EC4B87">
                <w:pPr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811F76">
                  <w:rPr>
                    <w:rStyle w:val="Strong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 SUC.UNIREA - CONT CURENT </w:t>
                </w:r>
                <w:r w:rsidRPr="00811F76">
                  <w:rPr>
                    <w:rFonts w:ascii="Bookman Old Style" w:hAnsi="Bookman Old Style"/>
                    <w:sz w:val="16"/>
                    <w:szCs w:val="16"/>
                  </w:rPr>
                  <w:t>RO64 RNCB 0082 0009 9180 0001</w:t>
                </w:r>
              </w:p>
              <w:p w:rsidR="0069640B" w:rsidRPr="003052D7" w:rsidRDefault="0069640B" w:rsidP="00EC4B87">
                <w:r w:rsidRPr="00811F76">
                  <w:rPr>
                    <w:rStyle w:val="Strong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 SUC.UNIREA - CONT GARANTII </w:t>
                </w:r>
                <w:r>
                  <w:rPr>
                    <w:rFonts w:ascii="Bookman Old Style" w:hAnsi="Bookman Old Style"/>
                    <w:sz w:val="16"/>
                    <w:szCs w:val="16"/>
                  </w:rPr>
                  <w:t>RO37 RNCB 0082 0009 9180 0002</w:t>
                </w:r>
              </w:p>
            </w:txbxContent>
          </v:textbox>
          <w10:wrap anchory="page"/>
        </v:shape>
      </w:pict>
    </w:r>
    <w:r>
      <w:rPr>
        <w:lang w:val="en-US" w:eastAsia="en-US"/>
      </w:rPr>
      <w:pict>
        <v:line id="Line 43" o:spid="_x0000_s2139" style="position:absolute;z-index:-251657216;visibility:visible;mso-position-vertical-relative:page" from="-43.6pt,768.2pt" to="499.4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6W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" strokeweight=".5pt">
          <w10:wrap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0B" w:rsidRPr="001B078F" w:rsidRDefault="0069640B" w:rsidP="00CF019B">
    <w:pPr>
      <w:jc w:val="center"/>
      <w:rPr>
        <w:noProof/>
        <w:sz w:val="16"/>
        <w:szCs w:val="16"/>
        <w:lang w:val="ro-RO"/>
      </w:rPr>
    </w:pPr>
    <w:r w:rsidRPr="001B078F">
      <w:rPr>
        <w:noProof/>
        <w:sz w:val="16"/>
        <w:szCs w:val="16"/>
        <w:lang w:val="ro-RO"/>
      </w:rPr>
      <w:t>Bursa Română de Mărfuri</w:t>
    </w:r>
  </w:p>
  <w:p w:rsidR="0069640B" w:rsidRPr="001B078F" w:rsidRDefault="0069640B" w:rsidP="00CF019B">
    <w:pPr>
      <w:pStyle w:val="BodyText"/>
      <w:jc w:val="center"/>
      <w:rPr>
        <w:rFonts w:ascii="Times New Roman" w:hAnsi="Times New Roman"/>
        <w:b w:val="0"/>
        <w:noProof/>
        <w:sz w:val="16"/>
        <w:szCs w:val="16"/>
      </w:rPr>
    </w:pPr>
    <w:r>
      <w:rPr>
        <w:rFonts w:ascii="Times New Roman" w:hAnsi="Times New Roman"/>
        <w:b w:val="0"/>
        <w:noProof/>
        <w:sz w:val="16"/>
        <w:szCs w:val="16"/>
      </w:rPr>
      <w:t xml:space="preserve">Strada Buzeşti </w:t>
    </w:r>
    <w:r w:rsidR="008A5622">
      <w:rPr>
        <w:rFonts w:ascii="Times New Roman" w:hAnsi="Times New Roman"/>
        <w:b w:val="0"/>
        <w:noProof/>
        <w:sz w:val="16"/>
        <w:szCs w:val="16"/>
      </w:rPr>
      <w:t>82</w:t>
    </w:r>
    <w:r>
      <w:rPr>
        <w:rFonts w:ascii="Times New Roman" w:hAnsi="Times New Roman"/>
        <w:b w:val="0"/>
        <w:noProof/>
        <w:sz w:val="16"/>
        <w:szCs w:val="16"/>
      </w:rPr>
      <w:t>-</w:t>
    </w:r>
    <w:r w:rsidR="008A5622">
      <w:rPr>
        <w:rFonts w:ascii="Times New Roman" w:hAnsi="Times New Roman"/>
        <w:b w:val="0"/>
        <w:noProof/>
        <w:sz w:val="16"/>
        <w:szCs w:val="16"/>
      </w:rPr>
      <w:t>94</w:t>
    </w:r>
    <w:r>
      <w:rPr>
        <w:rFonts w:ascii="Times New Roman" w:hAnsi="Times New Roman"/>
        <w:b w:val="0"/>
        <w:noProof/>
        <w:sz w:val="16"/>
        <w:szCs w:val="16"/>
      </w:rPr>
      <w:t>, sector 1, Bucureşti,</w:t>
    </w:r>
    <w:r w:rsidRPr="001B078F">
      <w:rPr>
        <w:rFonts w:ascii="Times New Roman" w:hAnsi="Times New Roman"/>
        <w:b w:val="0"/>
        <w:noProof/>
        <w:sz w:val="16"/>
        <w:szCs w:val="16"/>
      </w:rPr>
      <w:t xml:space="preserve"> România</w:t>
    </w:r>
  </w:p>
  <w:p w:rsidR="0069640B" w:rsidRPr="001B078F" w:rsidRDefault="0069640B" w:rsidP="00CF019B">
    <w:pPr>
      <w:jc w:val="center"/>
      <w:rPr>
        <w:noProof/>
        <w:sz w:val="16"/>
        <w:szCs w:val="16"/>
        <w:lang w:val="ro-RO"/>
      </w:rPr>
    </w:pPr>
    <w:r>
      <w:rPr>
        <w:noProof/>
        <w:sz w:val="16"/>
        <w:szCs w:val="16"/>
        <w:lang w:val="ro-RO"/>
      </w:rPr>
      <w:t>Tel. +40-21 317 45 60 ;</w:t>
    </w:r>
    <w:r w:rsidRPr="001B078F">
      <w:rPr>
        <w:noProof/>
        <w:sz w:val="16"/>
        <w:szCs w:val="16"/>
        <w:lang w:val="ro-RO"/>
      </w:rPr>
      <w:t xml:space="preserve"> Fax +40-21 317 28 78</w:t>
    </w:r>
  </w:p>
  <w:p w:rsidR="0069640B" w:rsidRPr="008A2E1E" w:rsidRDefault="0069640B" w:rsidP="00CF019B">
    <w:pPr>
      <w:pStyle w:val="Footer"/>
      <w:jc w:val="center"/>
    </w:pPr>
    <w:r w:rsidRPr="001B078F">
      <w:rPr>
        <w:color w:val="000000"/>
        <w:sz w:val="16"/>
        <w:szCs w:val="16"/>
      </w:rPr>
      <w:t xml:space="preserve">E-mail: </w:t>
    </w:r>
    <w:r>
      <w:rPr>
        <w:sz w:val="16"/>
        <w:szCs w:val="16"/>
      </w:rPr>
      <w:t>office@brm.ro.</w:t>
    </w:r>
    <w:r w:rsidRPr="001B078F">
      <w:rPr>
        <w:color w:val="000000"/>
        <w:sz w:val="16"/>
        <w:szCs w:val="16"/>
      </w:rPr>
      <w:t xml:space="preserve"> </w:t>
    </w:r>
    <w:hyperlink r:id="rId1" w:history="1">
      <w:r w:rsidRPr="00C877AB">
        <w:rPr>
          <w:rStyle w:val="Hyperlink"/>
          <w:sz w:val="16"/>
          <w:szCs w:val="16"/>
        </w:rPr>
        <w:t>http://www.brm.ro</w:t>
      </w:r>
    </w:hyperlink>
    <w:r>
      <w:rPr>
        <w:color w:val="000000"/>
        <w:sz w:val="16"/>
        <w:szCs w:val="16"/>
      </w:rPr>
      <w:t xml:space="preserve">, </w:t>
    </w:r>
    <w:hyperlink r:id="rId2" w:history="1">
      <w:r w:rsidRPr="00C877AB">
        <w:rPr>
          <w:rStyle w:val="Hyperlink"/>
          <w:sz w:val="16"/>
          <w:szCs w:val="16"/>
        </w:rPr>
        <w:t>http://www.ssif.brm.ro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5E" w:rsidRDefault="007F125E">
      <w:r>
        <w:separator/>
      </w:r>
    </w:p>
  </w:footnote>
  <w:footnote w:type="continuationSeparator" w:id="0">
    <w:p w:rsidR="007F125E" w:rsidRDefault="007F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5B" w:rsidRDefault="00823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5B" w:rsidRDefault="00823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0B" w:rsidRDefault="0069640B" w:rsidP="00A4646F">
    <w:pPr>
      <w:framePr w:w="3473" w:h="666" w:hSpace="181" w:wrap="notBeside" w:vAnchor="page" w:hAnchor="page" w:x="2012" w:y="536" w:anchorLock="1"/>
      <w:jc w:val="center"/>
      <w:rPr>
        <w:rFonts w:ascii="Bookman Old Style" w:hAnsi="Bookman Old Style"/>
        <w:b/>
        <w:noProof/>
        <w:lang w:val="ro-RO"/>
      </w:rPr>
    </w:pPr>
    <w:r w:rsidRPr="0097233A">
      <w:rPr>
        <w:rFonts w:ascii="Bookman Old Style" w:hAnsi="Bookman Old Style"/>
        <w:b/>
        <w:noProof/>
        <w:lang w:val="ro-RO"/>
      </w:rPr>
      <w:t>Bursa Română de Mărfuri  S.A.</w:t>
    </w:r>
  </w:p>
  <w:p w:rsidR="0069640B" w:rsidRPr="0097233A" w:rsidRDefault="0069640B" w:rsidP="00A4646F">
    <w:pPr>
      <w:pStyle w:val="Heading1"/>
      <w:framePr w:w="3473" w:h="666" w:hSpace="181" w:wrap="notBeside" w:vAnchor="page" w:hAnchor="page" w:x="2012" w:y="536" w:anchorLock="1"/>
      <w:jc w:val="center"/>
      <w:rPr>
        <w:noProof/>
        <w:spacing w:val="-20"/>
        <w:sz w:val="20"/>
      </w:rPr>
    </w:pPr>
    <w:r w:rsidRPr="0097233A">
      <w:rPr>
        <w:noProof/>
        <w:spacing w:val="-20"/>
        <w:sz w:val="20"/>
      </w:rPr>
      <w:t>Romanian Commodities Exchange</w:t>
    </w:r>
  </w:p>
  <w:p w:rsidR="0069640B" w:rsidRDefault="0069640B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:rsidR="0069640B" w:rsidRDefault="0069640B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:rsidR="0069640B" w:rsidRPr="00C6549D" w:rsidRDefault="0069640B" w:rsidP="00667550">
    <w:pPr>
      <w:framePr w:w="2889" w:h="884" w:hSpace="181" w:wrap="notBeside" w:vAnchor="page" w:hAnchor="page" w:x="8447" w:y="1" w:anchorLock="1"/>
      <w:jc w:val="right"/>
      <w:rPr>
        <w:rFonts w:eastAsia="MS Mincho"/>
        <w:sz w:val="14"/>
        <w:szCs w:val="14"/>
        <w:lang w:val="it-IT" w:eastAsia="ja-JP"/>
      </w:rPr>
    </w:pPr>
    <w:r w:rsidRPr="00C6549D">
      <w:rPr>
        <w:noProof/>
        <w:sz w:val="14"/>
        <w:szCs w:val="14"/>
        <w:lang w:val="ro-RO"/>
      </w:rPr>
      <w:t xml:space="preserve">Capital social: </w:t>
    </w:r>
    <w:r w:rsidRPr="00C6549D">
      <w:rPr>
        <w:rFonts w:eastAsia="MS Mincho"/>
        <w:sz w:val="14"/>
        <w:szCs w:val="14"/>
        <w:lang w:val="it-IT" w:eastAsia="ja-JP"/>
      </w:rPr>
      <w:t>8.000.000 lei</w:t>
    </w:r>
  </w:p>
  <w:p w:rsidR="0069640B" w:rsidRPr="00C6549D" w:rsidRDefault="0069640B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  <w:r w:rsidRPr="00C6549D">
      <w:rPr>
        <w:noProof/>
        <w:sz w:val="14"/>
        <w:szCs w:val="14"/>
        <w:lang w:val="ro-RO"/>
      </w:rPr>
      <w:t>CIF: RO1562694 • J40/19450/1992</w:t>
    </w:r>
  </w:p>
  <w:p w:rsidR="0069640B" w:rsidRPr="00C6549D" w:rsidRDefault="0069640B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LEI: RO34 RNCB 0082 0009 9180 0638</w:t>
    </w:r>
  </w:p>
  <w:p w:rsidR="0069640B" w:rsidRPr="00C6549D" w:rsidRDefault="0069640B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USD: RO39 RNCB 0082 0009 9180 0645</w:t>
    </w:r>
  </w:p>
  <w:p w:rsidR="0069640B" w:rsidRPr="00C6549D" w:rsidRDefault="0069640B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EUR: RO66 RNCB 0082 0009 9180 0644</w:t>
    </w:r>
  </w:p>
  <w:p w:rsidR="0069640B" w:rsidRPr="00C6549D" w:rsidRDefault="0069640B" w:rsidP="00667550">
    <w:pPr>
      <w:framePr w:w="2889" w:h="884" w:hSpace="181" w:wrap="notBeside" w:vAnchor="page" w:hAnchor="page" w:x="8447" w:y="1" w:anchorLock="1"/>
      <w:jc w:val="right"/>
      <w:rPr>
        <w:rStyle w:val="Strong"/>
        <w:b w:val="0"/>
        <w:bCs w:val="0"/>
        <w:noProof/>
        <w:sz w:val="14"/>
        <w:szCs w:val="14"/>
        <w:lang w:val="ro-RO"/>
      </w:rPr>
    </w:pPr>
    <w:proofErr w:type="spellStart"/>
    <w:r w:rsidRPr="00C6549D">
      <w:rPr>
        <w:rStyle w:val="Strong"/>
        <w:b w:val="0"/>
        <w:iCs/>
        <w:sz w:val="14"/>
        <w:szCs w:val="14"/>
      </w:rPr>
      <w:t>Autorizatie</w:t>
    </w:r>
    <w:proofErr w:type="spellEnd"/>
    <w:r w:rsidRPr="00C6549D">
      <w:rPr>
        <w:rStyle w:val="Strong"/>
        <w:b w:val="0"/>
        <w:iCs/>
        <w:sz w:val="14"/>
        <w:szCs w:val="14"/>
      </w:rPr>
      <w:t xml:space="preserve"> A.S.F. nr 275/18.12.2015</w:t>
    </w:r>
  </w:p>
  <w:p w:rsidR="0069640B" w:rsidRDefault="0069640B" w:rsidP="00667550">
    <w:pPr>
      <w:framePr w:w="2889" w:h="884" w:hSpace="181" w:wrap="notBeside" w:vAnchor="page" w:hAnchor="page" w:x="8447" w:y="1" w:anchorLock="1"/>
      <w:jc w:val="right"/>
    </w:pPr>
    <w:proofErr w:type="spellStart"/>
    <w:r w:rsidRPr="00C6549D">
      <w:rPr>
        <w:rStyle w:val="Strong"/>
        <w:b w:val="0"/>
        <w:iCs/>
        <w:sz w:val="14"/>
        <w:szCs w:val="14"/>
      </w:rPr>
      <w:t>Registrul</w:t>
    </w:r>
    <w:proofErr w:type="spellEnd"/>
    <w:r w:rsidRPr="00C6549D">
      <w:rPr>
        <w:rStyle w:val="Strong"/>
        <w:b w:val="0"/>
        <w:iCs/>
        <w:sz w:val="14"/>
        <w:szCs w:val="14"/>
      </w:rPr>
      <w:t xml:space="preserve"> A.S.F. nr.</w:t>
    </w:r>
    <w:hyperlink r:id="rId1" w:history="1">
      <w:r w:rsidRPr="00C6549D">
        <w:rPr>
          <w:rStyle w:val="style9"/>
          <w:color w:val="000000"/>
          <w:sz w:val="14"/>
          <w:szCs w:val="14"/>
          <w:shd w:val="clear" w:color="auto" w:fill="F3F2F8"/>
        </w:rPr>
        <w:t>PJR01SSIF/400079</w:t>
      </w:r>
    </w:hyperlink>
  </w:p>
  <w:p w:rsidR="0069640B" w:rsidRDefault="0069640B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-546100</wp:posOffset>
          </wp:positionH>
          <wp:positionV relativeFrom="paragraph">
            <wp:posOffset>-323215</wp:posOffset>
          </wp:positionV>
          <wp:extent cx="704215" cy="675640"/>
          <wp:effectExtent l="19050" t="0" r="635" b="0"/>
          <wp:wrapSquare wrapText="bothSides"/>
          <wp:docPr id="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6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E7B13"/>
    <w:multiLevelType w:val="hybridMultilevel"/>
    <w:tmpl w:val="87A40D10"/>
    <w:lvl w:ilvl="0" w:tplc="D4B0EC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0492E"/>
    <w:multiLevelType w:val="hybridMultilevel"/>
    <w:tmpl w:val="6D62CAC2"/>
    <w:lvl w:ilvl="0" w:tplc="9F948A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34C33E8"/>
    <w:multiLevelType w:val="hybridMultilevel"/>
    <w:tmpl w:val="166EF4D8"/>
    <w:lvl w:ilvl="0" w:tplc="38D80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5AF5"/>
    <w:multiLevelType w:val="hybridMultilevel"/>
    <w:tmpl w:val="0E4CDD98"/>
    <w:lvl w:ilvl="0" w:tplc="EACE5F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902"/>
    <w:multiLevelType w:val="hybridMultilevel"/>
    <w:tmpl w:val="08D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E3FAC"/>
    <w:multiLevelType w:val="hybridMultilevel"/>
    <w:tmpl w:val="EB1ADB4A"/>
    <w:lvl w:ilvl="0" w:tplc="9F948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10EB"/>
    <w:multiLevelType w:val="hybridMultilevel"/>
    <w:tmpl w:val="626C345C"/>
    <w:lvl w:ilvl="0" w:tplc="1C820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0E2A"/>
    <w:multiLevelType w:val="multilevel"/>
    <w:tmpl w:val="3A16E35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A64548D"/>
    <w:multiLevelType w:val="hybridMultilevel"/>
    <w:tmpl w:val="B8A6504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26A2224"/>
    <w:multiLevelType w:val="hybridMultilevel"/>
    <w:tmpl w:val="9FFCED8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3C104DD"/>
    <w:multiLevelType w:val="hybridMultilevel"/>
    <w:tmpl w:val="9F0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EFB"/>
    <w:multiLevelType w:val="hybridMultilevel"/>
    <w:tmpl w:val="EB00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658DC"/>
    <w:multiLevelType w:val="hybridMultilevel"/>
    <w:tmpl w:val="78142C88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F50A2"/>
    <w:multiLevelType w:val="hybridMultilevel"/>
    <w:tmpl w:val="4F000B10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D18E7"/>
    <w:multiLevelType w:val="hybridMultilevel"/>
    <w:tmpl w:val="E7A898B2"/>
    <w:lvl w:ilvl="0" w:tplc="5F02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1848"/>
    <w:multiLevelType w:val="hybridMultilevel"/>
    <w:tmpl w:val="6D34E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47236"/>
    <w:multiLevelType w:val="hybridMultilevel"/>
    <w:tmpl w:val="6A6E8458"/>
    <w:lvl w:ilvl="0" w:tplc="F44CA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3508"/>
    <w:multiLevelType w:val="hybridMultilevel"/>
    <w:tmpl w:val="05BC768C"/>
    <w:lvl w:ilvl="0" w:tplc="7248A1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51780"/>
    <w:multiLevelType w:val="hybridMultilevel"/>
    <w:tmpl w:val="6302C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B202E"/>
    <w:multiLevelType w:val="hybridMultilevel"/>
    <w:tmpl w:val="30EE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05A9"/>
    <w:multiLevelType w:val="multilevel"/>
    <w:tmpl w:val="BED0B9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18"/>
  </w:num>
  <w:num w:numId="10">
    <w:abstractNumId w:val="8"/>
  </w:num>
  <w:num w:numId="11">
    <w:abstractNumId w:val="21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9"/>
  </w:num>
  <w:num w:numId="21">
    <w:abstractNumId w:val="7"/>
  </w:num>
  <w:num w:numId="22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88A"/>
    <w:rsid w:val="00000D42"/>
    <w:rsid w:val="000101AE"/>
    <w:rsid w:val="0001137A"/>
    <w:rsid w:val="000126B8"/>
    <w:rsid w:val="00017FD8"/>
    <w:rsid w:val="000214A0"/>
    <w:rsid w:val="00021508"/>
    <w:rsid w:val="00033FC9"/>
    <w:rsid w:val="0003546F"/>
    <w:rsid w:val="00052DB4"/>
    <w:rsid w:val="0006349B"/>
    <w:rsid w:val="00067429"/>
    <w:rsid w:val="000775D6"/>
    <w:rsid w:val="000837EE"/>
    <w:rsid w:val="00093BF5"/>
    <w:rsid w:val="000956FE"/>
    <w:rsid w:val="000A3577"/>
    <w:rsid w:val="000A3963"/>
    <w:rsid w:val="000A7EF9"/>
    <w:rsid w:val="000E08E4"/>
    <w:rsid w:val="000E1A67"/>
    <w:rsid w:val="000E1AAF"/>
    <w:rsid w:val="000E33E4"/>
    <w:rsid w:val="000E41B8"/>
    <w:rsid w:val="000F1C55"/>
    <w:rsid w:val="000F66DD"/>
    <w:rsid w:val="0010084D"/>
    <w:rsid w:val="00105295"/>
    <w:rsid w:val="00114E71"/>
    <w:rsid w:val="00120913"/>
    <w:rsid w:val="001217C6"/>
    <w:rsid w:val="00127782"/>
    <w:rsid w:val="001377A2"/>
    <w:rsid w:val="0014586B"/>
    <w:rsid w:val="001464E4"/>
    <w:rsid w:val="0015330B"/>
    <w:rsid w:val="00154817"/>
    <w:rsid w:val="00154F7C"/>
    <w:rsid w:val="0015723A"/>
    <w:rsid w:val="00180112"/>
    <w:rsid w:val="0019204E"/>
    <w:rsid w:val="001921C0"/>
    <w:rsid w:val="00194037"/>
    <w:rsid w:val="001A199B"/>
    <w:rsid w:val="001A2D75"/>
    <w:rsid w:val="001A4387"/>
    <w:rsid w:val="001A5C4D"/>
    <w:rsid w:val="001A736C"/>
    <w:rsid w:val="001A7F6C"/>
    <w:rsid w:val="001B078F"/>
    <w:rsid w:val="001B0B41"/>
    <w:rsid w:val="001B1915"/>
    <w:rsid w:val="001B6C4B"/>
    <w:rsid w:val="001C4D07"/>
    <w:rsid w:val="001D5CEF"/>
    <w:rsid w:val="001E061B"/>
    <w:rsid w:val="001E0968"/>
    <w:rsid w:val="001F747A"/>
    <w:rsid w:val="002051B8"/>
    <w:rsid w:val="00216350"/>
    <w:rsid w:val="00223D70"/>
    <w:rsid w:val="002244EA"/>
    <w:rsid w:val="00234DEA"/>
    <w:rsid w:val="00236D72"/>
    <w:rsid w:val="00237173"/>
    <w:rsid w:val="00240582"/>
    <w:rsid w:val="0024685B"/>
    <w:rsid w:val="00247E7F"/>
    <w:rsid w:val="00261EF9"/>
    <w:rsid w:val="00273DF0"/>
    <w:rsid w:val="00280932"/>
    <w:rsid w:val="00287F32"/>
    <w:rsid w:val="002963F7"/>
    <w:rsid w:val="0029775F"/>
    <w:rsid w:val="002B5949"/>
    <w:rsid w:val="002C5E6C"/>
    <w:rsid w:val="002D134D"/>
    <w:rsid w:val="002D6AB6"/>
    <w:rsid w:val="002F526D"/>
    <w:rsid w:val="003052D7"/>
    <w:rsid w:val="00316B43"/>
    <w:rsid w:val="00323A6D"/>
    <w:rsid w:val="00330DEB"/>
    <w:rsid w:val="0034082B"/>
    <w:rsid w:val="00341833"/>
    <w:rsid w:val="0034378D"/>
    <w:rsid w:val="0034488A"/>
    <w:rsid w:val="0034637A"/>
    <w:rsid w:val="00352195"/>
    <w:rsid w:val="003527A0"/>
    <w:rsid w:val="00353147"/>
    <w:rsid w:val="003533FB"/>
    <w:rsid w:val="00361400"/>
    <w:rsid w:val="00367815"/>
    <w:rsid w:val="0037060C"/>
    <w:rsid w:val="0037411C"/>
    <w:rsid w:val="0038213A"/>
    <w:rsid w:val="00383710"/>
    <w:rsid w:val="00384800"/>
    <w:rsid w:val="00394C5B"/>
    <w:rsid w:val="00395278"/>
    <w:rsid w:val="003A1381"/>
    <w:rsid w:val="003A1755"/>
    <w:rsid w:val="003B087E"/>
    <w:rsid w:val="003B3047"/>
    <w:rsid w:val="003B6B83"/>
    <w:rsid w:val="003B734F"/>
    <w:rsid w:val="003C1FEF"/>
    <w:rsid w:val="003C52CA"/>
    <w:rsid w:val="003D4B1B"/>
    <w:rsid w:val="003D7107"/>
    <w:rsid w:val="003D7E2F"/>
    <w:rsid w:val="003E1B66"/>
    <w:rsid w:val="003E205C"/>
    <w:rsid w:val="003E2633"/>
    <w:rsid w:val="003E4734"/>
    <w:rsid w:val="003E71A0"/>
    <w:rsid w:val="003F048A"/>
    <w:rsid w:val="003F4446"/>
    <w:rsid w:val="003F44C3"/>
    <w:rsid w:val="003F4E68"/>
    <w:rsid w:val="004014E9"/>
    <w:rsid w:val="004043E0"/>
    <w:rsid w:val="004055C7"/>
    <w:rsid w:val="004077B6"/>
    <w:rsid w:val="00410C11"/>
    <w:rsid w:val="00432985"/>
    <w:rsid w:val="00443217"/>
    <w:rsid w:val="00451E73"/>
    <w:rsid w:val="004601BC"/>
    <w:rsid w:val="004662D1"/>
    <w:rsid w:val="00480350"/>
    <w:rsid w:val="00482189"/>
    <w:rsid w:val="0048727E"/>
    <w:rsid w:val="00491CE7"/>
    <w:rsid w:val="00496E78"/>
    <w:rsid w:val="004B3CA0"/>
    <w:rsid w:val="004D00DB"/>
    <w:rsid w:val="004D3021"/>
    <w:rsid w:val="004E0E11"/>
    <w:rsid w:val="004E2C59"/>
    <w:rsid w:val="004F2092"/>
    <w:rsid w:val="004F2B3F"/>
    <w:rsid w:val="004F69BE"/>
    <w:rsid w:val="00517355"/>
    <w:rsid w:val="00522599"/>
    <w:rsid w:val="0052754A"/>
    <w:rsid w:val="0053112D"/>
    <w:rsid w:val="00535EDD"/>
    <w:rsid w:val="005471EC"/>
    <w:rsid w:val="0054760A"/>
    <w:rsid w:val="00552EC2"/>
    <w:rsid w:val="0055435F"/>
    <w:rsid w:val="00554A25"/>
    <w:rsid w:val="0055658D"/>
    <w:rsid w:val="00572204"/>
    <w:rsid w:val="005777A4"/>
    <w:rsid w:val="005A05B0"/>
    <w:rsid w:val="005B3F3B"/>
    <w:rsid w:val="005B585F"/>
    <w:rsid w:val="005C57BA"/>
    <w:rsid w:val="005E1DFA"/>
    <w:rsid w:val="005F1AB1"/>
    <w:rsid w:val="005F69AF"/>
    <w:rsid w:val="005F7113"/>
    <w:rsid w:val="00622494"/>
    <w:rsid w:val="00622B85"/>
    <w:rsid w:val="006235ED"/>
    <w:rsid w:val="0064019A"/>
    <w:rsid w:val="00645586"/>
    <w:rsid w:val="006566CA"/>
    <w:rsid w:val="00667550"/>
    <w:rsid w:val="00667AEC"/>
    <w:rsid w:val="006855D3"/>
    <w:rsid w:val="00687BB2"/>
    <w:rsid w:val="006948B0"/>
    <w:rsid w:val="0069640B"/>
    <w:rsid w:val="006A0009"/>
    <w:rsid w:val="006B09FC"/>
    <w:rsid w:val="006B7C95"/>
    <w:rsid w:val="006C5539"/>
    <w:rsid w:val="006C7514"/>
    <w:rsid w:val="006D3877"/>
    <w:rsid w:val="006D7949"/>
    <w:rsid w:val="006E3B6B"/>
    <w:rsid w:val="006F3556"/>
    <w:rsid w:val="00702B6D"/>
    <w:rsid w:val="007040E4"/>
    <w:rsid w:val="00704645"/>
    <w:rsid w:val="00706EB7"/>
    <w:rsid w:val="00710B12"/>
    <w:rsid w:val="0071465B"/>
    <w:rsid w:val="00717035"/>
    <w:rsid w:val="00720D12"/>
    <w:rsid w:val="0072213B"/>
    <w:rsid w:val="00724346"/>
    <w:rsid w:val="00726250"/>
    <w:rsid w:val="00751CF4"/>
    <w:rsid w:val="00772A1E"/>
    <w:rsid w:val="00773C58"/>
    <w:rsid w:val="00777FB4"/>
    <w:rsid w:val="00780258"/>
    <w:rsid w:val="007805B2"/>
    <w:rsid w:val="00793193"/>
    <w:rsid w:val="007A5650"/>
    <w:rsid w:val="007A71F8"/>
    <w:rsid w:val="007D4DD2"/>
    <w:rsid w:val="007E16E4"/>
    <w:rsid w:val="007F125E"/>
    <w:rsid w:val="007F6E4A"/>
    <w:rsid w:val="007F7E0B"/>
    <w:rsid w:val="00802285"/>
    <w:rsid w:val="00803117"/>
    <w:rsid w:val="00811F76"/>
    <w:rsid w:val="00814974"/>
    <w:rsid w:val="00821A91"/>
    <w:rsid w:val="0082395B"/>
    <w:rsid w:val="00834C70"/>
    <w:rsid w:val="008375E4"/>
    <w:rsid w:val="008627B6"/>
    <w:rsid w:val="008752FA"/>
    <w:rsid w:val="008A0409"/>
    <w:rsid w:val="008A2E1E"/>
    <w:rsid w:val="008A2F63"/>
    <w:rsid w:val="008A5622"/>
    <w:rsid w:val="008C6250"/>
    <w:rsid w:val="008C66E5"/>
    <w:rsid w:val="008D1DC6"/>
    <w:rsid w:val="008D4D0E"/>
    <w:rsid w:val="008E68EF"/>
    <w:rsid w:val="00906C42"/>
    <w:rsid w:val="00910CDF"/>
    <w:rsid w:val="00911A13"/>
    <w:rsid w:val="009138A5"/>
    <w:rsid w:val="009147BB"/>
    <w:rsid w:val="00915BA9"/>
    <w:rsid w:val="00932D67"/>
    <w:rsid w:val="0093570A"/>
    <w:rsid w:val="009415C8"/>
    <w:rsid w:val="00943972"/>
    <w:rsid w:val="00943A74"/>
    <w:rsid w:val="00946660"/>
    <w:rsid w:val="00953C40"/>
    <w:rsid w:val="00956255"/>
    <w:rsid w:val="009620A4"/>
    <w:rsid w:val="0096265E"/>
    <w:rsid w:val="00963412"/>
    <w:rsid w:val="00967974"/>
    <w:rsid w:val="00972123"/>
    <w:rsid w:val="0097233A"/>
    <w:rsid w:val="00980145"/>
    <w:rsid w:val="00982D26"/>
    <w:rsid w:val="00995F25"/>
    <w:rsid w:val="009A0339"/>
    <w:rsid w:val="009A1B79"/>
    <w:rsid w:val="009A2370"/>
    <w:rsid w:val="009A3A6D"/>
    <w:rsid w:val="009C6D3A"/>
    <w:rsid w:val="009D353D"/>
    <w:rsid w:val="009D611E"/>
    <w:rsid w:val="009E1B11"/>
    <w:rsid w:val="009F067B"/>
    <w:rsid w:val="009F1E25"/>
    <w:rsid w:val="009F385A"/>
    <w:rsid w:val="009F49AB"/>
    <w:rsid w:val="009F7A18"/>
    <w:rsid w:val="00A0223D"/>
    <w:rsid w:val="00A07CDA"/>
    <w:rsid w:val="00A204C0"/>
    <w:rsid w:val="00A21680"/>
    <w:rsid w:val="00A24453"/>
    <w:rsid w:val="00A4646F"/>
    <w:rsid w:val="00A5621B"/>
    <w:rsid w:val="00A562F9"/>
    <w:rsid w:val="00A605B3"/>
    <w:rsid w:val="00A66561"/>
    <w:rsid w:val="00A73251"/>
    <w:rsid w:val="00A76959"/>
    <w:rsid w:val="00A94AF4"/>
    <w:rsid w:val="00AB7BF7"/>
    <w:rsid w:val="00AC4839"/>
    <w:rsid w:val="00AC58D2"/>
    <w:rsid w:val="00AC6C35"/>
    <w:rsid w:val="00AD6261"/>
    <w:rsid w:val="00AD7C58"/>
    <w:rsid w:val="00AE2543"/>
    <w:rsid w:val="00AF5A2F"/>
    <w:rsid w:val="00B052D9"/>
    <w:rsid w:val="00B24EF0"/>
    <w:rsid w:val="00B25091"/>
    <w:rsid w:val="00B364D0"/>
    <w:rsid w:val="00B365C5"/>
    <w:rsid w:val="00B369BA"/>
    <w:rsid w:val="00B62C5F"/>
    <w:rsid w:val="00B65009"/>
    <w:rsid w:val="00B6619C"/>
    <w:rsid w:val="00B9107D"/>
    <w:rsid w:val="00B95DAF"/>
    <w:rsid w:val="00BA1257"/>
    <w:rsid w:val="00BA69AF"/>
    <w:rsid w:val="00BB28EA"/>
    <w:rsid w:val="00BB7D95"/>
    <w:rsid w:val="00BC1A37"/>
    <w:rsid w:val="00BC722A"/>
    <w:rsid w:val="00BD40D2"/>
    <w:rsid w:val="00BD6888"/>
    <w:rsid w:val="00BE0BFD"/>
    <w:rsid w:val="00BE1784"/>
    <w:rsid w:val="00BE3992"/>
    <w:rsid w:val="00BE6DF1"/>
    <w:rsid w:val="00BE75DE"/>
    <w:rsid w:val="00BF182B"/>
    <w:rsid w:val="00BF20B4"/>
    <w:rsid w:val="00C01BB7"/>
    <w:rsid w:val="00C054EE"/>
    <w:rsid w:val="00C32EEE"/>
    <w:rsid w:val="00C40A18"/>
    <w:rsid w:val="00C52C20"/>
    <w:rsid w:val="00C561AA"/>
    <w:rsid w:val="00C566B5"/>
    <w:rsid w:val="00C6306C"/>
    <w:rsid w:val="00C6549D"/>
    <w:rsid w:val="00C737E7"/>
    <w:rsid w:val="00C8061F"/>
    <w:rsid w:val="00C8277E"/>
    <w:rsid w:val="00C915B6"/>
    <w:rsid w:val="00C954FC"/>
    <w:rsid w:val="00CC0A8B"/>
    <w:rsid w:val="00CC249E"/>
    <w:rsid w:val="00CC7CE0"/>
    <w:rsid w:val="00CD241E"/>
    <w:rsid w:val="00CD6FDF"/>
    <w:rsid w:val="00CF019B"/>
    <w:rsid w:val="00CF10B3"/>
    <w:rsid w:val="00CF3A1F"/>
    <w:rsid w:val="00D026E6"/>
    <w:rsid w:val="00D02D6F"/>
    <w:rsid w:val="00D138B5"/>
    <w:rsid w:val="00D15985"/>
    <w:rsid w:val="00D16196"/>
    <w:rsid w:val="00D222A4"/>
    <w:rsid w:val="00D25537"/>
    <w:rsid w:val="00D25E61"/>
    <w:rsid w:val="00D455F7"/>
    <w:rsid w:val="00D73759"/>
    <w:rsid w:val="00D751DD"/>
    <w:rsid w:val="00D75900"/>
    <w:rsid w:val="00DA0C20"/>
    <w:rsid w:val="00DB4678"/>
    <w:rsid w:val="00DD06A4"/>
    <w:rsid w:val="00DD090C"/>
    <w:rsid w:val="00DD36AB"/>
    <w:rsid w:val="00DD3F2A"/>
    <w:rsid w:val="00DF5A43"/>
    <w:rsid w:val="00DF6BFE"/>
    <w:rsid w:val="00DF7AC1"/>
    <w:rsid w:val="00E14DD0"/>
    <w:rsid w:val="00E151FB"/>
    <w:rsid w:val="00E214CF"/>
    <w:rsid w:val="00E21542"/>
    <w:rsid w:val="00E24FA6"/>
    <w:rsid w:val="00E27177"/>
    <w:rsid w:val="00E2765E"/>
    <w:rsid w:val="00E2787F"/>
    <w:rsid w:val="00E314D9"/>
    <w:rsid w:val="00E333F0"/>
    <w:rsid w:val="00E36D96"/>
    <w:rsid w:val="00E37CEB"/>
    <w:rsid w:val="00E734AB"/>
    <w:rsid w:val="00E801CF"/>
    <w:rsid w:val="00E85814"/>
    <w:rsid w:val="00EA34F1"/>
    <w:rsid w:val="00EC4B87"/>
    <w:rsid w:val="00EC6F74"/>
    <w:rsid w:val="00ED73A5"/>
    <w:rsid w:val="00EE2885"/>
    <w:rsid w:val="00EE5393"/>
    <w:rsid w:val="00EE5B90"/>
    <w:rsid w:val="00EE7144"/>
    <w:rsid w:val="00EF01A1"/>
    <w:rsid w:val="00EF625F"/>
    <w:rsid w:val="00EF7B2A"/>
    <w:rsid w:val="00F01B9F"/>
    <w:rsid w:val="00F020F1"/>
    <w:rsid w:val="00F14570"/>
    <w:rsid w:val="00F21B99"/>
    <w:rsid w:val="00F22073"/>
    <w:rsid w:val="00F24387"/>
    <w:rsid w:val="00F33854"/>
    <w:rsid w:val="00F44CE9"/>
    <w:rsid w:val="00F47056"/>
    <w:rsid w:val="00F56311"/>
    <w:rsid w:val="00F65D22"/>
    <w:rsid w:val="00F70BAB"/>
    <w:rsid w:val="00F838F9"/>
    <w:rsid w:val="00F84D04"/>
    <w:rsid w:val="00F85EBB"/>
    <w:rsid w:val="00F9580E"/>
    <w:rsid w:val="00FB1392"/>
    <w:rsid w:val="00FC0279"/>
    <w:rsid w:val="00FC3162"/>
    <w:rsid w:val="00FC5153"/>
    <w:rsid w:val="00FE663F"/>
    <w:rsid w:val="00FE6B06"/>
    <w:rsid w:val="00FE715E"/>
    <w:rsid w:val="00FE7630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D9"/>
    <w:rPr>
      <w:lang w:val="en-AU" w:eastAsia="en-US"/>
    </w:rPr>
  </w:style>
  <w:style w:type="paragraph" w:styleId="Heading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Heading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Heading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4D9"/>
    <w:rPr>
      <w:color w:val="0000FF"/>
      <w:u w:val="single"/>
    </w:rPr>
  </w:style>
  <w:style w:type="paragraph" w:styleId="Body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FollowedHyperlink">
    <w:name w:val="FollowedHyperlink"/>
    <w:basedOn w:val="DefaultParagraphFont"/>
    <w:rsid w:val="00E314D9"/>
    <w:rPr>
      <w:color w:val="800080"/>
      <w:u w:val="single"/>
    </w:rPr>
  </w:style>
  <w:style w:type="paragraph" w:styleId="BalloonText">
    <w:name w:val="Balloon Text"/>
    <w:basedOn w:val="Normal"/>
    <w:semiHidden/>
    <w:rsid w:val="00E31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1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PageNumber">
    <w:name w:val="page number"/>
    <w:basedOn w:val="DefaultParagraphFont"/>
    <w:rsid w:val="00E314D9"/>
  </w:style>
  <w:style w:type="paragraph" w:styleId="BodyTextInden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PlainText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Strong">
    <w:name w:val="Strong"/>
    <w:basedOn w:val="DefaultParagraphFont"/>
    <w:uiPriority w:val="22"/>
    <w:qFormat/>
    <w:rsid w:val="00114E71"/>
    <w:rPr>
      <w:b/>
      <w:bCs/>
    </w:rPr>
  </w:style>
  <w:style w:type="paragraph" w:styleId="BodyText2">
    <w:name w:val="Body Text 2"/>
    <w:basedOn w:val="Normal"/>
    <w:rsid w:val="00772A1E"/>
    <w:pPr>
      <w:spacing w:after="120" w:line="480" w:lineRule="auto"/>
    </w:pPr>
  </w:style>
  <w:style w:type="paragraph" w:styleId="BodyTextInden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772A1E"/>
    <w:rPr>
      <w:i/>
      <w:iCs/>
    </w:rPr>
  </w:style>
  <w:style w:type="character" w:customStyle="1" w:styleId="rospan">
    <w:name w:val="rospan"/>
    <w:basedOn w:val="DefaultParagraphFont"/>
    <w:rsid w:val="00772A1E"/>
  </w:style>
  <w:style w:type="paragraph" w:styleId="BodyTextInden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Body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4F7C"/>
    <w:rPr>
      <w:noProof/>
      <w:lang w:val="ro-RO" w:eastAsia="ro-RO"/>
    </w:rPr>
  </w:style>
  <w:style w:type="paragraph" w:styleId="ListParagraph">
    <w:name w:val="List Paragraph"/>
    <w:basedOn w:val="Normal"/>
    <w:uiPriority w:val="34"/>
    <w:qFormat/>
    <w:rsid w:val="00BC1A37"/>
    <w:pPr>
      <w:ind w:left="720"/>
      <w:contextualSpacing/>
    </w:pPr>
  </w:style>
  <w:style w:type="paragraph" w:customStyle="1" w:styleId="Default">
    <w:name w:val="Default"/>
    <w:rsid w:val="00667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yle9">
    <w:name w:val="style9"/>
    <w:basedOn w:val="DefaultParagraphFont"/>
    <w:rsid w:val="00B369BA"/>
  </w:style>
  <w:style w:type="paragraph" w:styleId="NormalWeb">
    <w:name w:val="Normal (Web)"/>
    <w:basedOn w:val="Normal"/>
    <w:uiPriority w:val="99"/>
    <w:unhideWhenUsed/>
    <w:rsid w:val="00C6549D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3D70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if.brm.ro" TargetMode="External"/><Relationship Id="rId1" Type="http://schemas.openxmlformats.org/officeDocument/2006/relationships/hyperlink" Target="http://www.brm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fromania.ro/registru/detalii.php?id=17664&amp;nrcnvm=PJR01SSIF/400079&amp;lng=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581B-775E-432F-B3EF-4A4BB213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creator>Nicolau Radu Florian</dc:creator>
  <cp:lastModifiedBy>Liviu</cp:lastModifiedBy>
  <cp:revision>4</cp:revision>
  <cp:lastPrinted>2019-10-01T08:39:00Z</cp:lastPrinted>
  <dcterms:created xsi:type="dcterms:W3CDTF">2023-05-09T08:27:00Z</dcterms:created>
  <dcterms:modified xsi:type="dcterms:W3CDTF">2023-05-09T08:32:00Z</dcterms:modified>
</cp:coreProperties>
</file>